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5.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6.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7.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8.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9.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0.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E2E3EC" w14:textId="02B1D30E" w:rsidR="001956C0" w:rsidRDefault="00801C0A" w:rsidP="001956C0">
      <w:pPr>
        <w:ind w:left="708" w:firstLine="708"/>
        <w:rPr>
          <w:rFonts w:ascii="Tahoma" w:hAnsi="Tahoma" w:cs="Tahoma"/>
          <w:b/>
          <w:caps/>
          <w:noProof/>
          <w:lang w:val="rw-RW" w:eastAsia="rw-RW"/>
        </w:rPr>
      </w:pPr>
      <w:r>
        <w:rPr>
          <w:rFonts w:ascii="Tahoma" w:hAnsi="Tahoma" w:cs="Tahoma"/>
          <w:b/>
          <w:caps/>
          <w:noProof/>
          <w:lang w:eastAsia="fr-FR"/>
        </w:rPr>
        <mc:AlternateContent>
          <mc:Choice Requires="wps">
            <w:drawing>
              <wp:anchor distT="0" distB="0" distL="114300" distR="114300" simplePos="0" relativeHeight="251667456" behindDoc="0" locked="0" layoutInCell="1" allowOverlap="1" wp14:anchorId="1335C1AA" wp14:editId="16D734E1">
                <wp:simplePos x="0" y="0"/>
                <wp:positionH relativeFrom="leftMargin">
                  <wp:posOffset>66675</wp:posOffset>
                </wp:positionH>
                <wp:positionV relativeFrom="paragraph">
                  <wp:posOffset>-280669</wp:posOffset>
                </wp:positionV>
                <wp:extent cx="800100" cy="8343900"/>
                <wp:effectExtent l="0" t="0" r="19050" b="1905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8343900"/>
                        </a:xfrm>
                        <a:prstGeom prst="rect">
                          <a:avLst/>
                        </a:prstGeom>
                        <a:solidFill>
                          <a:srgbClr val="FFFFFF"/>
                        </a:solidFill>
                        <a:ln w="6350">
                          <a:solidFill>
                            <a:srgbClr val="000000"/>
                          </a:solidFill>
                          <a:miter lim="800000"/>
                          <a:headEnd/>
                          <a:tailEnd/>
                        </a:ln>
                      </wps:spPr>
                      <wps:txbx>
                        <w:txbxContent>
                          <w:p w14:paraId="16AA0579" w14:textId="77777777" w:rsidR="00B0409D" w:rsidRDefault="00B0409D" w:rsidP="001956C0">
                            <w:r w:rsidRPr="0039310D">
                              <w:rPr>
                                <w:noProof/>
                                <w:lang w:eastAsia="fr-FR"/>
                              </w:rPr>
                              <w:drawing>
                                <wp:inline distT="0" distB="0" distL="0" distR="0" wp14:anchorId="13A0C382" wp14:editId="3788EFAD">
                                  <wp:extent cx="620395" cy="179070"/>
                                  <wp:effectExtent l="0" t="0" r="8255" b="0"/>
                                  <wp:docPr id="842" name="Imag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460AA9A" wp14:editId="1B7DC272">
                                  <wp:extent cx="620395" cy="179070"/>
                                  <wp:effectExtent l="0" t="0" r="8255" b="0"/>
                                  <wp:docPr id="843" name="Imag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299437D" wp14:editId="0CBEF578">
                                  <wp:extent cx="620395" cy="179070"/>
                                  <wp:effectExtent l="0" t="0" r="8255" b="0"/>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4DBB505" wp14:editId="4BBC2BAD">
                                  <wp:extent cx="620395" cy="179070"/>
                                  <wp:effectExtent l="0" t="0" r="8255"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CE461CB" wp14:editId="30886956">
                                  <wp:extent cx="620395" cy="179070"/>
                                  <wp:effectExtent l="0" t="0" r="8255" b="0"/>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C3DD1BE" wp14:editId="6AA46D7E">
                                  <wp:extent cx="620395" cy="179070"/>
                                  <wp:effectExtent l="0" t="0" r="8255" b="0"/>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1096433" wp14:editId="2055C1CF">
                                  <wp:extent cx="620395" cy="179070"/>
                                  <wp:effectExtent l="0" t="0" r="8255" b="0"/>
                                  <wp:docPr id="848" name="Imag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4F8EE67" wp14:editId="2CDEB4D8">
                                  <wp:extent cx="620395" cy="179070"/>
                                  <wp:effectExtent l="0" t="0" r="8255" b="0"/>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6CC8A9F" wp14:editId="1FEEF2E5">
                                  <wp:extent cx="620395" cy="179070"/>
                                  <wp:effectExtent l="0" t="0" r="8255" b="0"/>
                                  <wp:docPr id="850" name="Imag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CE8FBDB" wp14:editId="0112D109">
                                  <wp:extent cx="620395" cy="179070"/>
                                  <wp:effectExtent l="0" t="0" r="8255" b="0"/>
                                  <wp:docPr id="851" name="Imag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9E9FCE4" wp14:editId="3097A0A1">
                                  <wp:extent cx="620395" cy="179070"/>
                                  <wp:effectExtent l="0" t="0" r="8255" b="0"/>
                                  <wp:docPr id="852" name="Imag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3FA11B6" wp14:editId="6B86490F">
                                  <wp:extent cx="620395" cy="179070"/>
                                  <wp:effectExtent l="0" t="0" r="8255" b="0"/>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9ADAB67" wp14:editId="36955813">
                                  <wp:extent cx="620395" cy="179070"/>
                                  <wp:effectExtent l="0" t="0" r="8255" b="0"/>
                                  <wp:docPr id="854" name="Imag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A609996" wp14:editId="06F0CA51">
                                  <wp:extent cx="620395" cy="179070"/>
                                  <wp:effectExtent l="0" t="0" r="8255" b="0"/>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E8E2917" wp14:editId="0ECB42E2">
                                  <wp:extent cx="620395" cy="179070"/>
                                  <wp:effectExtent l="0" t="0" r="8255" b="0"/>
                                  <wp:docPr id="856" name="Imag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6D17E51" wp14:editId="4DE7B554">
                                  <wp:extent cx="620395" cy="179070"/>
                                  <wp:effectExtent l="0" t="0" r="8255" b="0"/>
                                  <wp:docPr id="857" name="Imag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D24316E" wp14:editId="0089219B">
                                  <wp:extent cx="620395" cy="179070"/>
                                  <wp:effectExtent l="0" t="0" r="8255" b="0"/>
                                  <wp:docPr id="858" name="Imag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7DAE637" wp14:editId="13BE9A96">
                                  <wp:extent cx="620395" cy="179070"/>
                                  <wp:effectExtent l="0" t="0" r="8255"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23D19DD" wp14:editId="4D15F94E">
                                  <wp:extent cx="620395" cy="179070"/>
                                  <wp:effectExtent l="0" t="0" r="8255" b="0"/>
                                  <wp:docPr id="860" name="Imag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F0A0881" wp14:editId="1EF512E2">
                                  <wp:extent cx="620395" cy="179070"/>
                                  <wp:effectExtent l="0" t="0" r="8255" b="0"/>
                                  <wp:docPr id="861" name="Imag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AE22FA9" wp14:editId="124B2BC8">
                                  <wp:extent cx="620395" cy="179070"/>
                                  <wp:effectExtent l="0" t="0" r="8255" b="0"/>
                                  <wp:docPr id="862" name="Imag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8DB52C6" wp14:editId="41035BD5">
                                  <wp:extent cx="620395" cy="179070"/>
                                  <wp:effectExtent l="0" t="0" r="8255" b="0"/>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8E6D56B" wp14:editId="0A9637F3">
                                  <wp:extent cx="620395" cy="179070"/>
                                  <wp:effectExtent l="0" t="0" r="8255" b="0"/>
                                  <wp:docPr id="864" name="Imag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FED2318" wp14:editId="076823F1">
                                  <wp:extent cx="620395" cy="179070"/>
                                  <wp:effectExtent l="0" t="0" r="8255" b="0"/>
                                  <wp:docPr id="865" name="Imag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1378E52" wp14:editId="0B5BBB5B">
                                  <wp:extent cx="620395" cy="179070"/>
                                  <wp:effectExtent l="0" t="0" r="8255" b="0"/>
                                  <wp:docPr id="866" name="Imag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92F442F" wp14:editId="0557ACC6">
                                  <wp:extent cx="620395" cy="179070"/>
                                  <wp:effectExtent l="0" t="0" r="8255" b="0"/>
                                  <wp:docPr id="867" name="Imag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F8BD869" wp14:editId="02F9FBA1">
                                  <wp:extent cx="620395" cy="179070"/>
                                  <wp:effectExtent l="0" t="0" r="8255" b="0"/>
                                  <wp:docPr id="868" name="Imag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B370DE7" wp14:editId="1A1D3C87">
                                  <wp:extent cx="620395" cy="179070"/>
                                  <wp:effectExtent l="0" t="0" r="8255" b="0"/>
                                  <wp:docPr id="869" name="Imag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EA7B6D8" wp14:editId="331E7854">
                                  <wp:extent cx="620395" cy="179070"/>
                                  <wp:effectExtent l="0" t="0" r="8255" b="0"/>
                                  <wp:docPr id="870" name="Imag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2FAEBBC" wp14:editId="5F324E22">
                                  <wp:extent cx="620395" cy="179070"/>
                                  <wp:effectExtent l="0" t="0" r="8255" b="0"/>
                                  <wp:docPr id="871" name="Imag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7EC4917" wp14:editId="2EBCCFEC">
                                  <wp:extent cx="620395" cy="179070"/>
                                  <wp:effectExtent l="0" t="0" r="8255" b="0"/>
                                  <wp:docPr id="872" name="Imag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C815F09" wp14:editId="2A27AEFE">
                                  <wp:extent cx="620395" cy="179070"/>
                                  <wp:effectExtent l="0" t="0" r="8255" b="0"/>
                                  <wp:docPr id="873" name="Imag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F710E21" wp14:editId="3F37E93F">
                                  <wp:extent cx="620395" cy="179070"/>
                                  <wp:effectExtent l="0" t="0" r="8255" b="0"/>
                                  <wp:docPr id="874" name="Imag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EFBE6E2" wp14:editId="00D55382">
                                  <wp:extent cx="620395" cy="179070"/>
                                  <wp:effectExtent l="0" t="0" r="8255" b="0"/>
                                  <wp:docPr id="875" name="Imag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2F148D1" wp14:editId="4D83424F">
                                  <wp:extent cx="620395" cy="179070"/>
                                  <wp:effectExtent l="0" t="0" r="8255" b="0"/>
                                  <wp:docPr id="876" name="Imag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F93A182" wp14:editId="1DA7E16E">
                                  <wp:extent cx="620395" cy="179070"/>
                                  <wp:effectExtent l="0" t="0" r="8255" b="0"/>
                                  <wp:docPr id="877" name="Imag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C7FED56" wp14:editId="62C0D4CE">
                                  <wp:extent cx="620395" cy="179070"/>
                                  <wp:effectExtent l="0" t="0" r="8255" b="0"/>
                                  <wp:docPr id="878" name="Imag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AB0D780" wp14:editId="0D481C39">
                                  <wp:extent cx="620395" cy="179070"/>
                                  <wp:effectExtent l="0" t="0" r="8255" b="0"/>
                                  <wp:docPr id="879" name="Imag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26F7E91" wp14:editId="2A573B92">
                                  <wp:extent cx="620395" cy="179070"/>
                                  <wp:effectExtent l="0" t="0" r="8255" b="0"/>
                                  <wp:docPr id="880" name="Imag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F952109" wp14:editId="47213DAC">
                                  <wp:extent cx="620395" cy="179070"/>
                                  <wp:effectExtent l="0" t="0" r="8255" b="0"/>
                                  <wp:docPr id="881" name="Imag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p>
                          <w:p w14:paraId="09CB36BA" w14:textId="18247B2B" w:rsidR="00B0409D" w:rsidRDefault="00B0409D" w:rsidP="005F372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335C1AA" id="_x0000_t202" coordsize="21600,21600" o:spt="202" path="m,l,21600r21600,l21600,xe">
                <v:stroke joinstyle="miter"/>
                <v:path gradientshapeok="t" o:connecttype="rect"/>
              </v:shapetype>
              <v:shape id="Text Box 5" o:spid="_x0000_s1026" type="#_x0000_t202" style="position:absolute;left:0;text-align:left;margin-left:5.25pt;margin-top:-22.1pt;width:63pt;height:657pt;z-index:251667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" strokeweight=".5pt">
                <v:textbox>
                  <w:txbxContent>
                    <w:p w14:paraId="16AA0579" w14:textId="77777777" w:rsidR="00B0409D" w:rsidRDefault="00B0409D" w:rsidP="001956C0">
                      <w:r w:rsidRPr="0039310D">
                        <w:rPr>
                          <w:noProof/>
                          <w:lang w:eastAsia="fr-FR"/>
                        </w:rPr>
                        <w:drawing>
                          <wp:inline distT="0" distB="0" distL="0" distR="0" wp14:anchorId="13A0C382" wp14:editId="3788EFAD">
                            <wp:extent cx="620395" cy="179070"/>
                            <wp:effectExtent l="0" t="0" r="8255" b="0"/>
                            <wp:docPr id="842" name="Imag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460AA9A" wp14:editId="1B7DC272">
                            <wp:extent cx="620395" cy="179070"/>
                            <wp:effectExtent l="0" t="0" r="8255" b="0"/>
                            <wp:docPr id="843" name="Imag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299437D" wp14:editId="0CBEF578">
                            <wp:extent cx="620395" cy="179070"/>
                            <wp:effectExtent l="0" t="0" r="8255" b="0"/>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4DBB505" wp14:editId="4BBC2BAD">
                            <wp:extent cx="620395" cy="179070"/>
                            <wp:effectExtent l="0" t="0" r="8255"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CE461CB" wp14:editId="30886956">
                            <wp:extent cx="620395" cy="179070"/>
                            <wp:effectExtent l="0" t="0" r="8255" b="0"/>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C3DD1BE" wp14:editId="6AA46D7E">
                            <wp:extent cx="620395" cy="179070"/>
                            <wp:effectExtent l="0" t="0" r="8255" b="0"/>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1096433" wp14:editId="2055C1CF">
                            <wp:extent cx="620395" cy="179070"/>
                            <wp:effectExtent l="0" t="0" r="8255" b="0"/>
                            <wp:docPr id="848" name="Imag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4F8EE67" wp14:editId="2CDEB4D8">
                            <wp:extent cx="620395" cy="179070"/>
                            <wp:effectExtent l="0" t="0" r="8255" b="0"/>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6CC8A9F" wp14:editId="1FEEF2E5">
                            <wp:extent cx="620395" cy="179070"/>
                            <wp:effectExtent l="0" t="0" r="8255" b="0"/>
                            <wp:docPr id="850" name="Imag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CE8FBDB" wp14:editId="0112D109">
                            <wp:extent cx="620395" cy="179070"/>
                            <wp:effectExtent l="0" t="0" r="8255" b="0"/>
                            <wp:docPr id="851" name="Imag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9E9FCE4" wp14:editId="3097A0A1">
                            <wp:extent cx="620395" cy="179070"/>
                            <wp:effectExtent l="0" t="0" r="8255" b="0"/>
                            <wp:docPr id="852" name="Imag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3FA11B6" wp14:editId="6B86490F">
                            <wp:extent cx="620395" cy="179070"/>
                            <wp:effectExtent l="0" t="0" r="8255" b="0"/>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9ADAB67" wp14:editId="36955813">
                            <wp:extent cx="620395" cy="179070"/>
                            <wp:effectExtent l="0" t="0" r="8255" b="0"/>
                            <wp:docPr id="854" name="Imag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A609996" wp14:editId="06F0CA51">
                            <wp:extent cx="620395" cy="179070"/>
                            <wp:effectExtent l="0" t="0" r="8255" b="0"/>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E8E2917" wp14:editId="0ECB42E2">
                            <wp:extent cx="620395" cy="179070"/>
                            <wp:effectExtent l="0" t="0" r="8255" b="0"/>
                            <wp:docPr id="856" name="Imag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6D17E51" wp14:editId="4DE7B554">
                            <wp:extent cx="620395" cy="179070"/>
                            <wp:effectExtent l="0" t="0" r="8255" b="0"/>
                            <wp:docPr id="857" name="Imag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D24316E" wp14:editId="0089219B">
                            <wp:extent cx="620395" cy="179070"/>
                            <wp:effectExtent l="0" t="0" r="8255" b="0"/>
                            <wp:docPr id="858" name="Imag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7DAE637" wp14:editId="13BE9A96">
                            <wp:extent cx="620395" cy="179070"/>
                            <wp:effectExtent l="0" t="0" r="8255"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23D19DD" wp14:editId="4D15F94E">
                            <wp:extent cx="620395" cy="179070"/>
                            <wp:effectExtent l="0" t="0" r="8255" b="0"/>
                            <wp:docPr id="860" name="Imag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F0A0881" wp14:editId="1EF512E2">
                            <wp:extent cx="620395" cy="179070"/>
                            <wp:effectExtent l="0" t="0" r="8255" b="0"/>
                            <wp:docPr id="861" name="Imag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AE22FA9" wp14:editId="124B2BC8">
                            <wp:extent cx="620395" cy="179070"/>
                            <wp:effectExtent l="0" t="0" r="8255" b="0"/>
                            <wp:docPr id="862" name="Imag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8DB52C6" wp14:editId="41035BD5">
                            <wp:extent cx="620395" cy="179070"/>
                            <wp:effectExtent l="0" t="0" r="8255" b="0"/>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8E6D56B" wp14:editId="0A9637F3">
                            <wp:extent cx="620395" cy="179070"/>
                            <wp:effectExtent l="0" t="0" r="8255" b="0"/>
                            <wp:docPr id="864" name="Imag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FED2318" wp14:editId="076823F1">
                            <wp:extent cx="620395" cy="179070"/>
                            <wp:effectExtent l="0" t="0" r="8255" b="0"/>
                            <wp:docPr id="865" name="Imag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1378E52" wp14:editId="0B5BBB5B">
                            <wp:extent cx="620395" cy="179070"/>
                            <wp:effectExtent l="0" t="0" r="8255" b="0"/>
                            <wp:docPr id="866" name="Imag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92F442F" wp14:editId="0557ACC6">
                            <wp:extent cx="620395" cy="179070"/>
                            <wp:effectExtent l="0" t="0" r="8255" b="0"/>
                            <wp:docPr id="867" name="Imag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F8BD869" wp14:editId="02F9FBA1">
                            <wp:extent cx="620395" cy="179070"/>
                            <wp:effectExtent l="0" t="0" r="8255" b="0"/>
                            <wp:docPr id="868" name="Imag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B370DE7" wp14:editId="1A1D3C87">
                            <wp:extent cx="620395" cy="179070"/>
                            <wp:effectExtent l="0" t="0" r="8255" b="0"/>
                            <wp:docPr id="869" name="Imag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EA7B6D8" wp14:editId="331E7854">
                            <wp:extent cx="620395" cy="179070"/>
                            <wp:effectExtent l="0" t="0" r="8255" b="0"/>
                            <wp:docPr id="870" name="Imag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2FAEBBC" wp14:editId="5F324E22">
                            <wp:extent cx="620395" cy="179070"/>
                            <wp:effectExtent l="0" t="0" r="8255" b="0"/>
                            <wp:docPr id="871" name="Imag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7EC4917" wp14:editId="2EBCCFEC">
                            <wp:extent cx="620395" cy="179070"/>
                            <wp:effectExtent l="0" t="0" r="8255" b="0"/>
                            <wp:docPr id="872" name="Imag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C815F09" wp14:editId="2A27AEFE">
                            <wp:extent cx="620395" cy="179070"/>
                            <wp:effectExtent l="0" t="0" r="8255" b="0"/>
                            <wp:docPr id="873" name="Imag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F710E21" wp14:editId="3F37E93F">
                            <wp:extent cx="620395" cy="179070"/>
                            <wp:effectExtent l="0" t="0" r="8255" b="0"/>
                            <wp:docPr id="874" name="Imag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EFBE6E2" wp14:editId="00D55382">
                            <wp:extent cx="620395" cy="179070"/>
                            <wp:effectExtent l="0" t="0" r="8255" b="0"/>
                            <wp:docPr id="875" name="Imag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2F148D1" wp14:editId="4D83424F">
                            <wp:extent cx="620395" cy="179070"/>
                            <wp:effectExtent l="0" t="0" r="8255" b="0"/>
                            <wp:docPr id="876" name="Imag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F93A182" wp14:editId="1DA7E16E">
                            <wp:extent cx="620395" cy="179070"/>
                            <wp:effectExtent l="0" t="0" r="8255" b="0"/>
                            <wp:docPr id="877" name="Imag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C7FED56" wp14:editId="62C0D4CE">
                            <wp:extent cx="620395" cy="179070"/>
                            <wp:effectExtent l="0" t="0" r="8255" b="0"/>
                            <wp:docPr id="878" name="Imag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AB0D780" wp14:editId="0D481C39">
                            <wp:extent cx="620395" cy="179070"/>
                            <wp:effectExtent l="0" t="0" r="8255" b="0"/>
                            <wp:docPr id="879" name="Imag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26F7E91" wp14:editId="2A573B92">
                            <wp:extent cx="620395" cy="179070"/>
                            <wp:effectExtent l="0" t="0" r="8255" b="0"/>
                            <wp:docPr id="880" name="Imag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F952109" wp14:editId="47213DAC">
                            <wp:extent cx="620395" cy="179070"/>
                            <wp:effectExtent l="0" t="0" r="8255" b="0"/>
                            <wp:docPr id="881" name="Imag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p>
                    <w:p w14:paraId="09CB36BA" w14:textId="18247B2B" w:rsidR="00B0409D" w:rsidRDefault="00B0409D" w:rsidP="005F3723"/>
                  </w:txbxContent>
                </v:textbox>
                <w10:wrap anchorx="margin"/>
              </v:shape>
            </w:pict>
          </mc:Fallback>
        </mc:AlternateContent>
      </w:r>
      <w:r>
        <w:rPr>
          <w:rFonts w:ascii="Tahoma" w:hAnsi="Tahoma" w:cs="Tahoma"/>
          <w:b/>
          <w:caps/>
          <w:noProof/>
          <w:lang w:eastAsia="fr-FR"/>
        </w:rPr>
        <mc:AlternateContent>
          <mc:Choice Requires="wps">
            <w:drawing>
              <wp:anchor distT="0" distB="0" distL="114300" distR="114300" simplePos="0" relativeHeight="251668480" behindDoc="0" locked="0" layoutInCell="1" allowOverlap="1" wp14:anchorId="64E6A1E4" wp14:editId="52EA3392">
                <wp:simplePos x="0" y="0"/>
                <wp:positionH relativeFrom="page">
                  <wp:posOffset>6686550</wp:posOffset>
                </wp:positionH>
                <wp:positionV relativeFrom="paragraph">
                  <wp:posOffset>-280670</wp:posOffset>
                </wp:positionV>
                <wp:extent cx="809625" cy="8343900"/>
                <wp:effectExtent l="0" t="0" r="28575" b="19050"/>
                <wp:wrapNone/>
                <wp:docPr id="8"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8343900"/>
                        </a:xfrm>
                        <a:prstGeom prst="rect">
                          <a:avLst/>
                        </a:prstGeom>
                        <a:solidFill>
                          <a:srgbClr val="FFFFFF"/>
                        </a:solidFill>
                        <a:ln w="6350">
                          <a:solidFill>
                            <a:srgbClr val="000000"/>
                          </a:solidFill>
                          <a:miter lim="800000"/>
                          <a:headEnd/>
                          <a:tailEnd/>
                        </a:ln>
                      </wps:spPr>
                      <wps:txbx>
                        <w:txbxContent>
                          <w:p w14:paraId="2715C5DE" w14:textId="77777777" w:rsidR="00B0409D" w:rsidRDefault="00B0409D" w:rsidP="001956C0">
                            <w:r w:rsidRPr="0039310D">
                              <w:rPr>
                                <w:noProof/>
                                <w:lang w:eastAsia="fr-FR"/>
                              </w:rPr>
                              <w:drawing>
                                <wp:inline distT="0" distB="0" distL="0" distR="0" wp14:anchorId="0954A5C0" wp14:editId="0F6770E6">
                                  <wp:extent cx="620395" cy="179070"/>
                                  <wp:effectExtent l="0" t="0" r="8255" b="0"/>
                                  <wp:docPr id="882" name="Imag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E62D93C" wp14:editId="013496B0">
                                  <wp:extent cx="620395" cy="179070"/>
                                  <wp:effectExtent l="0" t="0" r="8255" b="0"/>
                                  <wp:docPr id="883" name="Imag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98580C7" wp14:editId="71AA3DE3">
                                  <wp:extent cx="620395" cy="179070"/>
                                  <wp:effectExtent l="0" t="0" r="8255" b="0"/>
                                  <wp:docPr id="884" name="Imag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B1532D7" wp14:editId="674C21DE">
                                  <wp:extent cx="620395" cy="179070"/>
                                  <wp:effectExtent l="0" t="0" r="8255" b="0"/>
                                  <wp:docPr id="885" name="Imag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EBC3197" wp14:editId="44C755EE">
                                  <wp:extent cx="620395" cy="179070"/>
                                  <wp:effectExtent l="0" t="0" r="8255" b="0"/>
                                  <wp:docPr id="886" name="Imag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E3870D7" wp14:editId="464DB8BA">
                                  <wp:extent cx="620395" cy="179070"/>
                                  <wp:effectExtent l="0" t="0" r="8255" b="0"/>
                                  <wp:docPr id="887" name="Imag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EB4A27F" wp14:editId="62CA9D54">
                                  <wp:extent cx="620395" cy="179070"/>
                                  <wp:effectExtent l="0" t="0" r="8255" b="0"/>
                                  <wp:docPr id="888" name="Imag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2028C64" wp14:editId="06D088E3">
                                  <wp:extent cx="620395" cy="179070"/>
                                  <wp:effectExtent l="0" t="0" r="8255" b="0"/>
                                  <wp:docPr id="889" name="Imag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920148E" wp14:editId="2EC145E2">
                                  <wp:extent cx="620395" cy="179070"/>
                                  <wp:effectExtent l="0" t="0" r="8255" b="0"/>
                                  <wp:docPr id="890" name="Imag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7A2AEB7" wp14:editId="4715847D">
                                  <wp:extent cx="620395" cy="179070"/>
                                  <wp:effectExtent l="0" t="0" r="8255" b="0"/>
                                  <wp:docPr id="891" name="Imag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F88795E" wp14:editId="51A4C957">
                                  <wp:extent cx="620395" cy="179070"/>
                                  <wp:effectExtent l="0" t="0" r="8255" b="0"/>
                                  <wp:docPr id="892" name="Imag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9CCDF4E" wp14:editId="039F7EDE">
                                  <wp:extent cx="620395" cy="179070"/>
                                  <wp:effectExtent l="0" t="0" r="8255" b="0"/>
                                  <wp:docPr id="893" name="Imag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8D2C1B9" wp14:editId="685E9D16">
                                  <wp:extent cx="620395" cy="179070"/>
                                  <wp:effectExtent l="0" t="0" r="8255" b="0"/>
                                  <wp:docPr id="894" name="Imag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0BD4EC1" wp14:editId="4982FBF5">
                                  <wp:extent cx="620395" cy="179070"/>
                                  <wp:effectExtent l="0" t="0" r="8255" b="0"/>
                                  <wp:docPr id="895" name="Imag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108C889" wp14:editId="09020424">
                                  <wp:extent cx="620395" cy="179070"/>
                                  <wp:effectExtent l="0" t="0" r="8255" b="0"/>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D65A0C9" wp14:editId="2ED61257">
                                  <wp:extent cx="620395" cy="179070"/>
                                  <wp:effectExtent l="0" t="0" r="8255" b="0"/>
                                  <wp:docPr id="897" name="Imag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58A6CD8" wp14:editId="0A7E8120">
                                  <wp:extent cx="620395" cy="179070"/>
                                  <wp:effectExtent l="0" t="0" r="8255" b="0"/>
                                  <wp:docPr id="898" name="Imag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22C5642" wp14:editId="69F5ED34">
                                  <wp:extent cx="620395" cy="179070"/>
                                  <wp:effectExtent l="0" t="0" r="8255" b="0"/>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A99CBD2" wp14:editId="192CE84B">
                                  <wp:extent cx="620395" cy="179070"/>
                                  <wp:effectExtent l="0" t="0" r="8255" b="0"/>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AD85724" wp14:editId="0893EE60">
                                  <wp:extent cx="620395" cy="179070"/>
                                  <wp:effectExtent l="0" t="0" r="8255" b="0"/>
                                  <wp:docPr id="901" name="Imag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E2C9ABD" wp14:editId="0039118A">
                                  <wp:extent cx="620395" cy="179070"/>
                                  <wp:effectExtent l="0" t="0" r="8255" b="0"/>
                                  <wp:docPr id="902" name="Imag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8629C8C" wp14:editId="6A1C704A">
                                  <wp:extent cx="620395" cy="179070"/>
                                  <wp:effectExtent l="0" t="0" r="8255" b="0"/>
                                  <wp:docPr id="903" name="Imag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00CAF68" wp14:editId="61B21187">
                                  <wp:extent cx="620395" cy="179070"/>
                                  <wp:effectExtent l="0" t="0" r="8255" b="0"/>
                                  <wp:docPr id="904" name="Imag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75765B4" wp14:editId="3EE54EF5">
                                  <wp:extent cx="620395" cy="179070"/>
                                  <wp:effectExtent l="0" t="0" r="8255" b="0"/>
                                  <wp:docPr id="905" name="Imag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E12D90D" wp14:editId="341DD5F0">
                                  <wp:extent cx="620395" cy="179070"/>
                                  <wp:effectExtent l="0" t="0" r="8255" b="0"/>
                                  <wp:docPr id="906" name="Imag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7A528BB" wp14:editId="16189841">
                                  <wp:extent cx="620395" cy="179070"/>
                                  <wp:effectExtent l="0" t="0" r="8255" b="0"/>
                                  <wp:docPr id="907" name="Imag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895B514" wp14:editId="32509456">
                                  <wp:extent cx="620395" cy="179070"/>
                                  <wp:effectExtent l="0" t="0" r="8255" b="0"/>
                                  <wp:docPr id="908" name="Imag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8577970" wp14:editId="2EDAA17E">
                                  <wp:extent cx="620395" cy="179070"/>
                                  <wp:effectExtent l="0" t="0" r="8255" b="0"/>
                                  <wp:docPr id="909" name="Imag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4723684" wp14:editId="7CA23453">
                                  <wp:extent cx="620395" cy="179070"/>
                                  <wp:effectExtent l="0" t="0" r="8255" b="0"/>
                                  <wp:docPr id="910" name="Imag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5BE5434" wp14:editId="21B13911">
                                  <wp:extent cx="620395" cy="179070"/>
                                  <wp:effectExtent l="0" t="0" r="8255" b="0"/>
                                  <wp:docPr id="911" name="Imag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6E7037D" wp14:editId="077DA2BD">
                                  <wp:extent cx="620395" cy="179070"/>
                                  <wp:effectExtent l="0" t="0" r="8255" b="0"/>
                                  <wp:docPr id="912" name="Imag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9D8D558" wp14:editId="0E7D8303">
                                  <wp:extent cx="620395" cy="179070"/>
                                  <wp:effectExtent l="0" t="0" r="8255" b="0"/>
                                  <wp:docPr id="913" name="Imag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017CF41" wp14:editId="2C7696D4">
                                  <wp:extent cx="620395" cy="179070"/>
                                  <wp:effectExtent l="0" t="0" r="8255" b="0"/>
                                  <wp:docPr id="914" name="Imag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C850EEB" wp14:editId="779A34EB">
                                  <wp:extent cx="620395" cy="179070"/>
                                  <wp:effectExtent l="0" t="0" r="8255" b="0"/>
                                  <wp:docPr id="915" name="Imag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1ED1C9F" wp14:editId="306FE657">
                                  <wp:extent cx="620395" cy="179070"/>
                                  <wp:effectExtent l="0" t="0" r="8255" b="0"/>
                                  <wp:docPr id="916" name="Imag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FE464B5" wp14:editId="07F84A13">
                                  <wp:extent cx="620395" cy="179070"/>
                                  <wp:effectExtent l="0" t="0" r="8255" b="0"/>
                                  <wp:docPr id="917" name="Imag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B3E77F8" wp14:editId="068D405C">
                                  <wp:extent cx="620395" cy="179070"/>
                                  <wp:effectExtent l="0" t="0" r="8255" b="0"/>
                                  <wp:docPr id="918" name="Imag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3EAC609" wp14:editId="10BC4574">
                                  <wp:extent cx="620395" cy="179070"/>
                                  <wp:effectExtent l="0" t="0" r="8255" b="0"/>
                                  <wp:docPr id="919" name="Imag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1C1221F" wp14:editId="0946D4D5">
                                  <wp:extent cx="620395" cy="179070"/>
                                  <wp:effectExtent l="0" t="0" r="8255" b="0"/>
                                  <wp:docPr id="920" name="Imag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D5FB37C" wp14:editId="5B75A085">
                                  <wp:extent cx="620395" cy="179070"/>
                                  <wp:effectExtent l="0" t="0" r="8255" b="0"/>
                                  <wp:docPr id="921" name="Imag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p>
                          <w:p w14:paraId="02EF09AB" w14:textId="6B335289" w:rsidR="00B0409D" w:rsidRDefault="00B0409D" w:rsidP="005F372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E6A1E4" id="Text Box 96" o:spid="_x0000_s1027" type="#_x0000_t202" style="position:absolute;left:0;text-align:left;margin-left:526.5pt;margin-top:-22.1pt;width:63.75pt;height:657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" strokeweight=".5pt">
                <v:textbox>
                  <w:txbxContent>
                    <w:p w14:paraId="2715C5DE" w14:textId="77777777" w:rsidR="00B0409D" w:rsidRDefault="00B0409D" w:rsidP="001956C0">
                      <w:r w:rsidRPr="0039310D">
                        <w:rPr>
                          <w:noProof/>
                          <w:lang w:eastAsia="fr-FR"/>
                        </w:rPr>
                        <w:drawing>
                          <wp:inline distT="0" distB="0" distL="0" distR="0" wp14:anchorId="0954A5C0" wp14:editId="0F6770E6">
                            <wp:extent cx="620395" cy="179070"/>
                            <wp:effectExtent l="0" t="0" r="8255" b="0"/>
                            <wp:docPr id="882" name="Imag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E62D93C" wp14:editId="013496B0">
                            <wp:extent cx="620395" cy="179070"/>
                            <wp:effectExtent l="0" t="0" r="8255" b="0"/>
                            <wp:docPr id="883" name="Imag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98580C7" wp14:editId="71AA3DE3">
                            <wp:extent cx="620395" cy="179070"/>
                            <wp:effectExtent l="0" t="0" r="8255" b="0"/>
                            <wp:docPr id="884" name="Imag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B1532D7" wp14:editId="674C21DE">
                            <wp:extent cx="620395" cy="179070"/>
                            <wp:effectExtent l="0" t="0" r="8255" b="0"/>
                            <wp:docPr id="885" name="Imag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EBC3197" wp14:editId="44C755EE">
                            <wp:extent cx="620395" cy="179070"/>
                            <wp:effectExtent l="0" t="0" r="8255" b="0"/>
                            <wp:docPr id="886" name="Imag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E3870D7" wp14:editId="464DB8BA">
                            <wp:extent cx="620395" cy="179070"/>
                            <wp:effectExtent l="0" t="0" r="8255" b="0"/>
                            <wp:docPr id="887" name="Imag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EB4A27F" wp14:editId="62CA9D54">
                            <wp:extent cx="620395" cy="179070"/>
                            <wp:effectExtent l="0" t="0" r="8255" b="0"/>
                            <wp:docPr id="888" name="Imag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2028C64" wp14:editId="06D088E3">
                            <wp:extent cx="620395" cy="179070"/>
                            <wp:effectExtent l="0" t="0" r="8255" b="0"/>
                            <wp:docPr id="889" name="Imag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920148E" wp14:editId="2EC145E2">
                            <wp:extent cx="620395" cy="179070"/>
                            <wp:effectExtent l="0" t="0" r="8255" b="0"/>
                            <wp:docPr id="890" name="Imag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7A2AEB7" wp14:editId="4715847D">
                            <wp:extent cx="620395" cy="179070"/>
                            <wp:effectExtent l="0" t="0" r="8255" b="0"/>
                            <wp:docPr id="891" name="Imag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F88795E" wp14:editId="51A4C957">
                            <wp:extent cx="620395" cy="179070"/>
                            <wp:effectExtent l="0" t="0" r="8255" b="0"/>
                            <wp:docPr id="892" name="Imag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9CCDF4E" wp14:editId="039F7EDE">
                            <wp:extent cx="620395" cy="179070"/>
                            <wp:effectExtent l="0" t="0" r="8255" b="0"/>
                            <wp:docPr id="893" name="Imag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8D2C1B9" wp14:editId="685E9D16">
                            <wp:extent cx="620395" cy="179070"/>
                            <wp:effectExtent l="0" t="0" r="8255" b="0"/>
                            <wp:docPr id="894" name="Imag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0BD4EC1" wp14:editId="4982FBF5">
                            <wp:extent cx="620395" cy="179070"/>
                            <wp:effectExtent l="0" t="0" r="8255" b="0"/>
                            <wp:docPr id="895" name="Imag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108C889" wp14:editId="09020424">
                            <wp:extent cx="620395" cy="179070"/>
                            <wp:effectExtent l="0" t="0" r="8255" b="0"/>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D65A0C9" wp14:editId="2ED61257">
                            <wp:extent cx="620395" cy="179070"/>
                            <wp:effectExtent l="0" t="0" r="8255" b="0"/>
                            <wp:docPr id="897" name="Imag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58A6CD8" wp14:editId="0A7E8120">
                            <wp:extent cx="620395" cy="179070"/>
                            <wp:effectExtent l="0" t="0" r="8255" b="0"/>
                            <wp:docPr id="898" name="Imag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322C5642" wp14:editId="69F5ED34">
                            <wp:extent cx="620395" cy="179070"/>
                            <wp:effectExtent l="0" t="0" r="8255" b="0"/>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A99CBD2" wp14:editId="192CE84B">
                            <wp:extent cx="620395" cy="179070"/>
                            <wp:effectExtent l="0" t="0" r="8255" b="0"/>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AD85724" wp14:editId="0893EE60">
                            <wp:extent cx="620395" cy="179070"/>
                            <wp:effectExtent l="0" t="0" r="8255" b="0"/>
                            <wp:docPr id="901" name="Imag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E2C9ABD" wp14:editId="0039118A">
                            <wp:extent cx="620395" cy="179070"/>
                            <wp:effectExtent l="0" t="0" r="8255" b="0"/>
                            <wp:docPr id="902" name="Imag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8629C8C" wp14:editId="6A1C704A">
                            <wp:extent cx="620395" cy="179070"/>
                            <wp:effectExtent l="0" t="0" r="8255" b="0"/>
                            <wp:docPr id="903" name="Imag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600CAF68" wp14:editId="61B21187">
                            <wp:extent cx="620395" cy="179070"/>
                            <wp:effectExtent l="0" t="0" r="8255" b="0"/>
                            <wp:docPr id="904" name="Imag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75765B4" wp14:editId="3EE54EF5">
                            <wp:extent cx="620395" cy="179070"/>
                            <wp:effectExtent l="0" t="0" r="8255" b="0"/>
                            <wp:docPr id="905" name="Imag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E12D90D" wp14:editId="341DD5F0">
                            <wp:extent cx="620395" cy="179070"/>
                            <wp:effectExtent l="0" t="0" r="8255" b="0"/>
                            <wp:docPr id="906" name="Imag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7A528BB" wp14:editId="16189841">
                            <wp:extent cx="620395" cy="179070"/>
                            <wp:effectExtent l="0" t="0" r="8255" b="0"/>
                            <wp:docPr id="907" name="Imag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895B514" wp14:editId="32509456">
                            <wp:extent cx="620395" cy="179070"/>
                            <wp:effectExtent l="0" t="0" r="8255" b="0"/>
                            <wp:docPr id="908" name="Imag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8577970" wp14:editId="2EDAA17E">
                            <wp:extent cx="620395" cy="179070"/>
                            <wp:effectExtent l="0" t="0" r="8255" b="0"/>
                            <wp:docPr id="909" name="Imag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14723684" wp14:editId="7CA23453">
                            <wp:extent cx="620395" cy="179070"/>
                            <wp:effectExtent l="0" t="0" r="8255" b="0"/>
                            <wp:docPr id="910" name="Imag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5BE5434" wp14:editId="21B13911">
                            <wp:extent cx="620395" cy="179070"/>
                            <wp:effectExtent l="0" t="0" r="8255" b="0"/>
                            <wp:docPr id="911" name="Imag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6E7037D" wp14:editId="077DA2BD">
                            <wp:extent cx="620395" cy="179070"/>
                            <wp:effectExtent l="0" t="0" r="8255" b="0"/>
                            <wp:docPr id="912" name="Imag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9D8D558" wp14:editId="0E7D8303">
                            <wp:extent cx="620395" cy="179070"/>
                            <wp:effectExtent l="0" t="0" r="8255" b="0"/>
                            <wp:docPr id="913" name="Imag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0017CF41" wp14:editId="2C7696D4">
                            <wp:extent cx="620395" cy="179070"/>
                            <wp:effectExtent l="0" t="0" r="8255" b="0"/>
                            <wp:docPr id="914" name="Imag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C850EEB" wp14:editId="779A34EB">
                            <wp:extent cx="620395" cy="179070"/>
                            <wp:effectExtent l="0" t="0" r="8255" b="0"/>
                            <wp:docPr id="915" name="Imag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1ED1C9F" wp14:editId="306FE657">
                            <wp:extent cx="620395" cy="179070"/>
                            <wp:effectExtent l="0" t="0" r="8255" b="0"/>
                            <wp:docPr id="916" name="Imag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4FE464B5" wp14:editId="07F84A13">
                            <wp:extent cx="620395" cy="179070"/>
                            <wp:effectExtent l="0" t="0" r="8255" b="0"/>
                            <wp:docPr id="917" name="Imag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5B3E77F8" wp14:editId="068D405C">
                            <wp:extent cx="620395" cy="179070"/>
                            <wp:effectExtent l="0" t="0" r="8255" b="0"/>
                            <wp:docPr id="918" name="Imag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3EAC609" wp14:editId="10BC4574">
                            <wp:extent cx="620395" cy="179070"/>
                            <wp:effectExtent l="0" t="0" r="8255" b="0"/>
                            <wp:docPr id="919" name="Imag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21C1221F" wp14:editId="0946D4D5">
                            <wp:extent cx="620395" cy="179070"/>
                            <wp:effectExtent l="0" t="0" r="8255" b="0"/>
                            <wp:docPr id="920" name="Imag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r w:rsidRPr="0039310D">
                        <w:rPr>
                          <w:noProof/>
                          <w:lang w:eastAsia="fr-FR"/>
                        </w:rPr>
                        <w:drawing>
                          <wp:inline distT="0" distB="0" distL="0" distR="0" wp14:anchorId="7D5FB37C" wp14:editId="5B75A085">
                            <wp:extent cx="620395" cy="179070"/>
                            <wp:effectExtent l="0" t="0" r="8255" b="0"/>
                            <wp:docPr id="921" name="Imag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395" cy="179070"/>
                                    </a:xfrm>
                                    <a:prstGeom prst="rect">
                                      <a:avLst/>
                                    </a:prstGeom>
                                    <a:noFill/>
                                    <a:ln>
                                      <a:noFill/>
                                    </a:ln>
                                  </pic:spPr>
                                </pic:pic>
                              </a:graphicData>
                            </a:graphic>
                          </wp:inline>
                        </w:drawing>
                      </w:r>
                    </w:p>
                    <w:p w14:paraId="02EF09AB" w14:textId="6B335289" w:rsidR="00B0409D" w:rsidRDefault="00B0409D" w:rsidP="005F3723"/>
                  </w:txbxContent>
                </v:textbox>
                <w10:wrap anchorx="page"/>
              </v:shape>
            </w:pict>
          </mc:Fallback>
        </mc:AlternateContent>
      </w:r>
      <w:r>
        <w:rPr>
          <w:rFonts w:ascii="Tahoma" w:hAnsi="Tahoma" w:cs="Tahoma"/>
          <w:b/>
          <w:caps/>
          <w:noProof/>
          <w:lang w:eastAsia="fr-FR"/>
        </w:rPr>
        <mc:AlternateContent>
          <mc:Choice Requires="wps">
            <w:drawing>
              <wp:anchor distT="0" distB="0" distL="114300" distR="114300" simplePos="0" relativeHeight="251666432" behindDoc="0" locked="0" layoutInCell="1" allowOverlap="1" wp14:anchorId="1664C506" wp14:editId="5077AB42">
                <wp:simplePos x="0" y="0"/>
                <wp:positionH relativeFrom="margin">
                  <wp:posOffset>-833120</wp:posOffset>
                </wp:positionH>
                <wp:positionV relativeFrom="paragraph">
                  <wp:posOffset>-880744</wp:posOffset>
                </wp:positionV>
                <wp:extent cx="7426325" cy="590550"/>
                <wp:effectExtent l="0" t="0" r="22225" b="1905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6325" cy="590550"/>
                        </a:xfrm>
                        <a:prstGeom prst="rect">
                          <a:avLst/>
                        </a:prstGeom>
                        <a:solidFill>
                          <a:srgbClr val="FFFFFF"/>
                        </a:solidFill>
                        <a:ln w="6350">
                          <a:solidFill>
                            <a:srgbClr val="000000"/>
                          </a:solidFill>
                          <a:miter lim="800000"/>
                          <a:headEnd/>
                          <a:tailEnd/>
                        </a:ln>
                      </wps:spPr>
                      <wps:txbx>
                        <w:txbxContent>
                          <w:p w14:paraId="28476527" w14:textId="7E0A603F" w:rsidR="00B0409D" w:rsidRDefault="00B0409D" w:rsidP="005F3723">
                            <w:r w:rsidRPr="0039310D">
                              <w:rPr>
                                <w:rFonts w:ascii="Tahoma" w:hAnsi="Tahoma" w:cs="Tahoma"/>
                                <w:noProof/>
                                <w:lang w:eastAsia="fr-FR"/>
                              </w:rPr>
                              <w:drawing>
                                <wp:inline distT="0" distB="0" distL="0" distR="0" wp14:anchorId="0DFB468D" wp14:editId="6202A2BA">
                                  <wp:extent cx="1571625" cy="447675"/>
                                  <wp:effectExtent l="0" t="0" r="9525" b="9525"/>
                                  <wp:docPr id="922" name="Imag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7162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794A3019" wp14:editId="07E9B145">
                                  <wp:extent cx="1428750" cy="447675"/>
                                  <wp:effectExtent l="0" t="0" r="0" b="9525"/>
                                  <wp:docPr id="923" name="Imag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0"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3B130ADE" wp14:editId="3B9EE0F2">
                                  <wp:extent cx="1323975" cy="447675"/>
                                  <wp:effectExtent l="0" t="0" r="9525" b="9525"/>
                                  <wp:docPr id="924" name="Imag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397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23428049" wp14:editId="2A6067D6">
                                  <wp:extent cx="1419225" cy="447675"/>
                                  <wp:effectExtent l="0" t="0" r="9525" b="9525"/>
                                  <wp:docPr id="925" name="Imag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922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6F1B56C8" wp14:editId="06DD2747">
                                  <wp:extent cx="1428750" cy="447675"/>
                                  <wp:effectExtent l="0" t="0" r="0" b="9525"/>
                                  <wp:docPr id="939" name="Imag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0" cy="447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64C506" id="Text Box 9" o:spid="_x0000_s1028" type="#_x0000_t202" style="position:absolute;left:0;text-align:left;margin-left:-65.6pt;margin-top:-69.35pt;width:584.75pt;height:46.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" strokeweight=".5pt">
                <v:textbox>
                  <w:txbxContent>
                    <w:p w14:paraId="28476527" w14:textId="7E0A603F" w:rsidR="00B0409D" w:rsidRDefault="00B0409D" w:rsidP="005F3723">
                      <w:r w:rsidRPr="0039310D">
                        <w:rPr>
                          <w:rFonts w:ascii="Tahoma" w:hAnsi="Tahoma" w:cs="Tahoma"/>
                          <w:noProof/>
                          <w:lang w:eastAsia="fr-FR"/>
                        </w:rPr>
                        <w:drawing>
                          <wp:inline distT="0" distB="0" distL="0" distR="0" wp14:anchorId="0DFB468D" wp14:editId="6202A2BA">
                            <wp:extent cx="1571625" cy="447675"/>
                            <wp:effectExtent l="0" t="0" r="9525" b="9525"/>
                            <wp:docPr id="922" name="Imag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162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794A3019" wp14:editId="07E9B145">
                            <wp:extent cx="1428750" cy="447675"/>
                            <wp:effectExtent l="0" t="0" r="0" b="9525"/>
                            <wp:docPr id="923" name="Imag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0"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3B130ADE" wp14:editId="3B9EE0F2">
                            <wp:extent cx="1323975" cy="447675"/>
                            <wp:effectExtent l="0" t="0" r="9525" b="9525"/>
                            <wp:docPr id="924" name="Imag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2397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23428049" wp14:editId="2A6067D6">
                            <wp:extent cx="1419225" cy="447675"/>
                            <wp:effectExtent l="0" t="0" r="9525" b="9525"/>
                            <wp:docPr id="925" name="Imag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1922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6F1B56C8" wp14:editId="06DD2747">
                            <wp:extent cx="1428750" cy="447675"/>
                            <wp:effectExtent l="0" t="0" r="0" b="9525"/>
                            <wp:docPr id="939" name="Imag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0" cy="447675"/>
                                    </a:xfrm>
                                    <a:prstGeom prst="rect">
                                      <a:avLst/>
                                    </a:prstGeom>
                                    <a:noFill/>
                                    <a:ln>
                                      <a:noFill/>
                                    </a:ln>
                                  </pic:spPr>
                                </pic:pic>
                              </a:graphicData>
                            </a:graphic>
                          </wp:inline>
                        </w:drawing>
                      </w:r>
                    </w:p>
                  </w:txbxContent>
                </v:textbox>
                <w10:wrap anchorx="margin"/>
              </v:shape>
            </w:pict>
          </mc:Fallback>
        </mc:AlternateContent>
      </w:r>
      <w:r w:rsidR="005F3723">
        <w:rPr>
          <w:rFonts w:ascii="Tahoma" w:hAnsi="Tahoma" w:cs="Tahoma"/>
          <w:b/>
          <w:caps/>
          <w:noProof/>
          <w:lang w:val="rw-RW" w:eastAsia="rw-RW"/>
        </w:rPr>
        <w:t xml:space="preserve">  </w:t>
      </w:r>
    </w:p>
    <w:p w14:paraId="3A82792B" w14:textId="6AEDB0CE" w:rsidR="00801C0A" w:rsidRDefault="00801C0A" w:rsidP="001956C0">
      <w:pPr>
        <w:ind w:left="708" w:firstLine="708"/>
        <w:rPr>
          <w:rFonts w:ascii="Tahoma" w:hAnsi="Tahoma" w:cs="Tahoma"/>
          <w:b/>
          <w:caps/>
          <w:noProof/>
          <w:lang w:val="rw-RW" w:eastAsia="rw-RW"/>
        </w:rPr>
      </w:pPr>
    </w:p>
    <w:p w14:paraId="3BA4B8C9" w14:textId="77777777" w:rsidR="00801C0A" w:rsidRDefault="00801C0A" w:rsidP="001956C0">
      <w:pPr>
        <w:ind w:left="708" w:firstLine="708"/>
        <w:rPr>
          <w:rFonts w:ascii="Tahoma" w:hAnsi="Tahoma" w:cs="Tahoma"/>
          <w:b/>
          <w:caps/>
          <w:noProof/>
          <w:lang w:eastAsia="rw-RW"/>
        </w:rPr>
      </w:pPr>
    </w:p>
    <w:p w14:paraId="2C4E9DCA" w14:textId="1E0967C7" w:rsidR="001956C0" w:rsidRPr="00CA397B" w:rsidRDefault="001956C0" w:rsidP="001956C0">
      <w:r>
        <w:rPr>
          <w:rFonts w:ascii="Tahoma" w:hAnsi="Tahoma" w:cs="Tahoma"/>
          <w:b/>
          <w:caps/>
          <w:noProof/>
          <w:lang w:eastAsia="rw-RW"/>
        </w:rPr>
        <w:t xml:space="preserve">                 </w:t>
      </w:r>
      <w:r w:rsidR="00F85A8F">
        <w:rPr>
          <w:rFonts w:ascii="Tahoma" w:hAnsi="Tahoma" w:cs="Tahoma"/>
          <w:b/>
          <w:caps/>
          <w:noProof/>
          <w:lang w:eastAsia="rw-RW"/>
        </w:rPr>
        <w:t xml:space="preserve">       INSTITUT NATIONAL DE LA STATISTIQUES DU BURUNDI</w:t>
      </w:r>
      <w:r>
        <w:rPr>
          <w:rFonts w:ascii="Tahoma" w:hAnsi="Tahoma" w:cs="Tahoma"/>
          <w:b/>
          <w:caps/>
          <w:noProof/>
          <w:lang w:eastAsia="rw-RW"/>
        </w:rPr>
        <w:t xml:space="preserve"> </w:t>
      </w:r>
    </w:p>
    <w:p w14:paraId="435429A5" w14:textId="47AE604A" w:rsidR="005F3723" w:rsidRDefault="001956C0" w:rsidP="00F85A8F">
      <w:pPr>
        <w:ind w:left="2160" w:firstLine="720"/>
      </w:pPr>
      <w:bookmarkStart w:id="0" w:name="_Hlk121299783"/>
      <w:r w:rsidRPr="00272182">
        <w:rPr>
          <w:rFonts w:ascii="Arial Black" w:hAnsi="Arial Black" w:cs="Tahoma"/>
          <w:b/>
          <w:caps/>
          <w:noProof/>
          <w:lang w:eastAsia="fr-FR"/>
        </w:rPr>
        <w:drawing>
          <wp:inline distT="0" distB="0" distL="0" distR="0" wp14:anchorId="578E7DC8" wp14:editId="107C4F0E">
            <wp:extent cx="1733550" cy="714375"/>
            <wp:effectExtent l="0" t="0" r="0" b="9525"/>
            <wp:docPr id="761" name="Imag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550" cy="714375"/>
                    </a:xfrm>
                    <a:prstGeom prst="rect">
                      <a:avLst/>
                    </a:prstGeom>
                    <a:noFill/>
                    <a:ln>
                      <a:noFill/>
                    </a:ln>
                  </pic:spPr>
                </pic:pic>
              </a:graphicData>
            </a:graphic>
          </wp:inline>
        </w:drawing>
      </w:r>
      <w:bookmarkEnd w:id="0"/>
      <w:r w:rsidR="005F3723">
        <w:rPr>
          <w:rFonts w:ascii="Tahoma" w:hAnsi="Tahoma" w:cs="Tahoma"/>
          <w:b/>
          <w:caps/>
          <w:noProof/>
          <w:lang w:val="rw-RW" w:eastAsia="rw-RW"/>
        </w:rPr>
        <w:t xml:space="preserve">                              </w:t>
      </w:r>
    </w:p>
    <w:p w14:paraId="0ECE8692" w14:textId="77777777" w:rsidR="005F3723" w:rsidRPr="00FD48BE" w:rsidRDefault="005F3723" w:rsidP="00F85A8F">
      <w:pPr>
        <w:pStyle w:val="En-tte"/>
        <w:pBdr>
          <w:bottom w:val="single" w:sz="6" w:space="0" w:color="auto"/>
        </w:pBdr>
        <w:jc w:val="center"/>
        <w:rPr>
          <w:rFonts w:ascii="Tahoma" w:hAnsi="Tahoma" w:cs="Tahoma"/>
        </w:rPr>
      </w:pPr>
      <w:r w:rsidRPr="00FD48BE">
        <w:rPr>
          <w:rFonts w:ascii="Tahoma" w:hAnsi="Tahoma" w:cs="Tahoma"/>
          <w:b/>
          <w:bCs/>
        </w:rPr>
        <w:t>DIRECTION GENERALE</w:t>
      </w:r>
    </w:p>
    <w:p w14:paraId="240D4A89" w14:textId="77777777" w:rsidR="005F3723" w:rsidRPr="00957779" w:rsidRDefault="005F3723" w:rsidP="005F3723">
      <w:pPr>
        <w:tabs>
          <w:tab w:val="left" w:pos="3570"/>
        </w:tabs>
        <w:spacing w:line="360" w:lineRule="auto"/>
        <w:jc w:val="right"/>
        <w:rPr>
          <w:rFonts w:ascii="Times New Roman" w:hAnsi="Times New Roman" w:cs="Times New Roman"/>
          <w:sz w:val="24"/>
        </w:rPr>
      </w:pPr>
    </w:p>
    <w:p w14:paraId="4A182DE0" w14:textId="68B85A53" w:rsidR="0078224B" w:rsidRPr="00397913" w:rsidRDefault="00CC777A" w:rsidP="00A04509">
      <w:pPr>
        <w:spacing w:line="360" w:lineRule="auto"/>
        <w:rPr>
          <w:rFonts w:ascii="Times New Roman" w:hAnsi="Times New Roman" w:cs="Times New Roman"/>
          <w:b/>
          <w:sz w:val="24"/>
        </w:rPr>
      </w:pPr>
      <w:r>
        <w:rPr>
          <w:rFonts w:ascii="Times New Roman" w:hAnsi="Times New Roman" w:cs="Times New Roman"/>
          <w:b/>
          <w:sz w:val="24"/>
        </w:rPr>
        <w:t xml:space="preserve">                   </w:t>
      </w:r>
      <w:r w:rsidR="005F3723" w:rsidRPr="00957779">
        <w:rPr>
          <w:rFonts w:ascii="Times New Roman" w:hAnsi="Times New Roman" w:cs="Times New Roman"/>
          <w:b/>
          <w:sz w:val="24"/>
        </w:rPr>
        <w:t>TITRE</w:t>
      </w:r>
      <w:r w:rsidR="005F3723" w:rsidRPr="00957779">
        <w:rPr>
          <w:rFonts w:ascii="Times New Roman" w:hAnsi="Times New Roman" w:cs="Times New Roman"/>
          <w:sz w:val="24"/>
        </w:rPr>
        <w:t> </w:t>
      </w:r>
      <w:r w:rsidR="005F3723" w:rsidRPr="00957779">
        <w:rPr>
          <w:rFonts w:ascii="Times New Roman" w:hAnsi="Times New Roman" w:cs="Times New Roman"/>
          <w:b/>
          <w:sz w:val="24"/>
        </w:rPr>
        <w:t>: INDICE DU CHIFFRE D’AFFAIRE</w:t>
      </w:r>
      <w:r w:rsidR="00481676">
        <w:rPr>
          <w:rFonts w:ascii="Times New Roman" w:hAnsi="Times New Roman" w:cs="Times New Roman"/>
          <w:b/>
          <w:sz w:val="24"/>
        </w:rPr>
        <w:t>S</w:t>
      </w:r>
      <w:r w:rsidR="005F3723" w:rsidRPr="00957779">
        <w:rPr>
          <w:rFonts w:ascii="Times New Roman" w:hAnsi="Times New Roman" w:cs="Times New Roman"/>
          <w:b/>
          <w:sz w:val="24"/>
        </w:rPr>
        <w:t xml:space="preserve"> </w:t>
      </w:r>
      <w:r w:rsidR="004B3887">
        <w:rPr>
          <w:rFonts w:ascii="Times New Roman" w:hAnsi="Times New Roman" w:cs="Times New Roman"/>
          <w:b/>
          <w:sz w:val="24"/>
        </w:rPr>
        <w:t>DEFINITIF</w:t>
      </w:r>
      <w:r w:rsidR="00A04509" w:rsidRPr="00A04509">
        <w:rPr>
          <w:rFonts w:ascii="Times New Roman" w:hAnsi="Times New Roman" w:cs="Times New Roman"/>
          <w:b/>
          <w:sz w:val="24"/>
        </w:rPr>
        <w:t xml:space="preserve"> DU</w:t>
      </w:r>
      <w:r w:rsidR="00EB63A5">
        <w:rPr>
          <w:rFonts w:ascii="Times New Roman" w:hAnsi="Times New Roman" w:cs="Times New Roman"/>
          <w:b/>
          <w:sz w:val="24"/>
        </w:rPr>
        <w:t xml:space="preserve"> </w:t>
      </w:r>
      <w:r w:rsidR="00E51EE2">
        <w:rPr>
          <w:rFonts w:ascii="Times New Roman" w:hAnsi="Times New Roman" w:cs="Times New Roman"/>
          <w:b/>
          <w:sz w:val="24"/>
        </w:rPr>
        <w:t>PREMIER</w:t>
      </w:r>
      <w:r w:rsidR="00EB63A5">
        <w:rPr>
          <w:rFonts w:ascii="Times New Roman" w:hAnsi="Times New Roman" w:cs="Times New Roman"/>
          <w:b/>
          <w:sz w:val="24"/>
        </w:rPr>
        <w:t xml:space="preserve">                                                                                                                                     </w:t>
      </w:r>
      <w:r w:rsidR="00A04509" w:rsidRPr="00A04509">
        <w:rPr>
          <w:rFonts w:ascii="Times New Roman" w:hAnsi="Times New Roman" w:cs="Times New Roman"/>
          <w:b/>
          <w:sz w:val="24"/>
        </w:rPr>
        <w:t xml:space="preserve"> </w:t>
      </w:r>
      <w:r w:rsidR="0044435C">
        <w:rPr>
          <w:rFonts w:ascii="Times New Roman" w:hAnsi="Times New Roman" w:cs="Times New Roman"/>
          <w:b/>
          <w:sz w:val="24"/>
        </w:rPr>
        <w:t xml:space="preserve">                               </w:t>
      </w:r>
      <w:r w:rsidR="00EB63A5">
        <w:rPr>
          <w:rFonts w:ascii="Times New Roman" w:hAnsi="Times New Roman" w:cs="Times New Roman"/>
          <w:b/>
          <w:sz w:val="24"/>
        </w:rPr>
        <w:t xml:space="preserve">TRIMESTRE </w:t>
      </w:r>
      <w:r w:rsidR="00A04509" w:rsidRPr="00A04509">
        <w:rPr>
          <w:rFonts w:ascii="Times New Roman" w:hAnsi="Times New Roman" w:cs="Times New Roman"/>
          <w:b/>
          <w:sz w:val="24"/>
        </w:rPr>
        <w:t>202</w:t>
      </w:r>
      <w:r w:rsidR="00E51EE2">
        <w:rPr>
          <w:rFonts w:ascii="Times New Roman" w:hAnsi="Times New Roman" w:cs="Times New Roman"/>
          <w:b/>
          <w:sz w:val="24"/>
        </w:rPr>
        <w:t>3</w:t>
      </w:r>
      <w:r w:rsidR="00A04509" w:rsidRPr="00A04509">
        <w:rPr>
          <w:rFonts w:ascii="Times New Roman" w:hAnsi="Times New Roman" w:cs="Times New Roman"/>
          <w:b/>
          <w:sz w:val="24"/>
        </w:rPr>
        <w:t xml:space="preserve"> DANS LES SECTEURS « COMMERCE » ET « AUTRES SERVICES »</w:t>
      </w:r>
    </w:p>
    <w:p w14:paraId="1CA4BCF3" w14:textId="4A93EED1" w:rsidR="005F3723" w:rsidRDefault="00801C0A" w:rsidP="00CC777A">
      <w:pPr>
        <w:spacing w:line="360" w:lineRule="auto"/>
        <w:ind w:left="840"/>
        <w:rPr>
          <w:rFonts w:ascii="Times New Roman" w:hAnsi="Times New Roman" w:cs="Times New Roman"/>
          <w:b/>
        </w:rPr>
      </w:pPr>
      <w:r>
        <w:rPr>
          <w:rFonts w:ascii="Times New Roman" w:hAnsi="Times New Roman" w:cs="Times New Roman"/>
          <w:b/>
        </w:rPr>
        <w:t xml:space="preserve">           </w:t>
      </w:r>
      <w:r w:rsidR="0078224B">
        <w:rPr>
          <w:rFonts w:ascii="Times New Roman" w:hAnsi="Times New Roman" w:cs="Times New Roman"/>
          <w:b/>
        </w:rPr>
        <w:t xml:space="preserve">                              </w:t>
      </w:r>
    </w:p>
    <w:p w14:paraId="276A17AA" w14:textId="7491521D" w:rsidR="005F3723" w:rsidRDefault="00F85A8F" w:rsidP="00801C0A">
      <w:pPr>
        <w:tabs>
          <w:tab w:val="left" w:pos="2265"/>
        </w:tabs>
        <w:jc w:val="center"/>
      </w:pPr>
      <w:r>
        <w:rPr>
          <w:noProof/>
          <w:lang w:eastAsia="fr-FR"/>
        </w:rPr>
        <w:drawing>
          <wp:inline distT="0" distB="0" distL="0" distR="0" wp14:anchorId="78FC8CAD" wp14:editId="4D4E926D">
            <wp:extent cx="5041900" cy="1627505"/>
            <wp:effectExtent l="0" t="0" r="6350" b="0"/>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1900" cy="1627505"/>
                    </a:xfrm>
                    <a:prstGeom prst="rect">
                      <a:avLst/>
                    </a:prstGeom>
                    <a:noFill/>
                  </pic:spPr>
                </pic:pic>
              </a:graphicData>
            </a:graphic>
          </wp:inline>
        </w:drawing>
      </w:r>
    </w:p>
    <w:p w14:paraId="64C5F88B" w14:textId="77777777" w:rsidR="00801C0A" w:rsidRDefault="00F85A8F" w:rsidP="005F3723">
      <w:pPr>
        <w:tabs>
          <w:tab w:val="left" w:pos="2265"/>
        </w:tabs>
      </w:pPr>
      <w:r>
        <w:tab/>
      </w:r>
    </w:p>
    <w:p w14:paraId="75CFAA16" w14:textId="21B62C15" w:rsidR="00F85A8F" w:rsidRPr="00DE5FD6" w:rsidRDefault="00F85A8F" w:rsidP="005F3723">
      <w:pPr>
        <w:tabs>
          <w:tab w:val="left" w:pos="2265"/>
        </w:tabs>
      </w:pPr>
      <w:r>
        <w:tab/>
      </w:r>
    </w:p>
    <w:p w14:paraId="2C1AA502" w14:textId="77777777" w:rsidR="005F3723" w:rsidRDefault="005F3723" w:rsidP="005F3723">
      <w:pPr>
        <w:widowControl w:val="0"/>
        <w:jc w:val="center"/>
        <w:rPr>
          <w:rFonts w:ascii="Cambria" w:hAnsi="Cambria" w:cs="Arial Narrow"/>
          <w:b/>
          <w:bCs/>
          <w:snapToGrid w:val="0"/>
        </w:rPr>
      </w:pPr>
      <w:r w:rsidRPr="00FA1EF5">
        <w:rPr>
          <w:rFonts w:ascii="Cambria" w:hAnsi="Cambria" w:cs="Arial Narrow"/>
          <w:b/>
          <w:bCs/>
          <w:noProof/>
          <w:lang w:eastAsia="fr-FR"/>
        </w:rPr>
        <mc:AlternateContent>
          <mc:Choice Requires="wps">
            <w:drawing>
              <wp:anchor distT="0" distB="0" distL="114300" distR="114300" simplePos="0" relativeHeight="251665408" behindDoc="0" locked="0" layoutInCell="1" allowOverlap="1" wp14:anchorId="41137065" wp14:editId="033E6CBE">
                <wp:simplePos x="0" y="0"/>
                <wp:positionH relativeFrom="margin">
                  <wp:align>left</wp:align>
                </wp:positionH>
                <wp:positionV relativeFrom="paragraph">
                  <wp:posOffset>186690</wp:posOffset>
                </wp:positionV>
                <wp:extent cx="6174105" cy="22225"/>
                <wp:effectExtent l="0" t="0" r="36195" b="3492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74105" cy="22225"/>
                        </a:xfrm>
                        <a:prstGeom prst="line">
                          <a:avLst/>
                        </a:prstGeom>
                        <a:noFill/>
                        <a:ln w="9525">
                          <a:solidFill>
                            <a:srgbClr val="F2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95E11D0" id="Straight Connector 10" o:spid="_x0000_s1026" style="position:absolute;flip:y;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7pt" to="486.1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" strokecolor="#f20000">
                <w10:wrap anchorx="margin"/>
              </v:line>
            </w:pict>
          </mc:Fallback>
        </mc:AlternateContent>
      </w:r>
    </w:p>
    <w:p w14:paraId="153905CF" w14:textId="7D56024A" w:rsidR="005F3723" w:rsidRPr="000650D8" w:rsidRDefault="00C3587C" w:rsidP="005F3723">
      <w:pPr>
        <w:widowControl w:val="0"/>
        <w:jc w:val="center"/>
        <w:rPr>
          <w:b/>
          <w:bCs/>
          <w:sz w:val="20"/>
          <w:szCs w:val="20"/>
          <w:lang w:val="it-IT"/>
        </w:rPr>
      </w:pPr>
      <w:r>
        <w:rPr>
          <w:b/>
          <w:bCs/>
          <w:snapToGrid w:val="0"/>
          <w:sz w:val="20"/>
          <w:szCs w:val="20"/>
        </w:rPr>
        <w:t>INSBU</w:t>
      </w:r>
      <w:r w:rsidR="005F3723" w:rsidRPr="000650D8">
        <w:rPr>
          <w:b/>
          <w:bCs/>
          <w:snapToGrid w:val="0"/>
          <w:sz w:val="20"/>
          <w:szCs w:val="20"/>
        </w:rPr>
        <w:t xml:space="preserve">, </w:t>
      </w:r>
      <w:r w:rsidR="005F3723">
        <w:rPr>
          <w:b/>
          <w:bCs/>
          <w:snapToGrid w:val="0"/>
          <w:sz w:val="20"/>
          <w:szCs w:val="20"/>
        </w:rPr>
        <w:t xml:space="preserve"> B.</w:t>
      </w:r>
      <w:r w:rsidR="005F3723" w:rsidRPr="000650D8">
        <w:rPr>
          <w:b/>
          <w:bCs/>
          <w:snapToGrid w:val="0"/>
          <w:sz w:val="20"/>
          <w:szCs w:val="20"/>
        </w:rPr>
        <w:t>P 1156 BUJUMBURA,  Tél. : 22 2149/22 67 29, FAX : 22 26 35, E-Mail :</w:t>
      </w:r>
      <w:r w:rsidR="00F85A8F">
        <w:rPr>
          <w:b/>
          <w:bCs/>
          <w:snapToGrid w:val="0"/>
          <w:sz w:val="20"/>
          <w:szCs w:val="20"/>
        </w:rPr>
        <w:t xml:space="preserve"> </w:t>
      </w:r>
      <w:r w:rsidR="00402026">
        <w:rPr>
          <w:b/>
          <w:bCs/>
          <w:snapToGrid w:val="0"/>
          <w:sz w:val="20"/>
          <w:szCs w:val="20"/>
        </w:rPr>
        <w:t>ins.burundi@insbu.bi</w:t>
      </w:r>
      <w:r w:rsidR="005F3723" w:rsidRPr="000650D8">
        <w:rPr>
          <w:b/>
          <w:sz w:val="20"/>
          <w:szCs w:val="20"/>
        </w:rPr>
        <w:t xml:space="preserve"> </w:t>
      </w:r>
      <w:hyperlink r:id="rId14" w:history="1">
        <w:r w:rsidR="00402026" w:rsidRPr="00AC42EE">
          <w:rPr>
            <w:rStyle w:val="Lienhypertexte"/>
            <w:b/>
            <w:bCs/>
            <w:sz w:val="20"/>
            <w:szCs w:val="20"/>
            <w:lang w:val="it-IT"/>
          </w:rPr>
          <w:t>isteebu@isteebu.bi</w:t>
        </w:r>
      </w:hyperlink>
      <w:r w:rsidR="005F3723" w:rsidRPr="000650D8">
        <w:rPr>
          <w:b/>
          <w:bCs/>
          <w:sz w:val="20"/>
          <w:szCs w:val="20"/>
          <w:lang w:val="it-IT"/>
        </w:rPr>
        <w:t xml:space="preserve">, Site Web : </w:t>
      </w:r>
      <w:hyperlink r:id="rId15" w:history="1">
        <w:r w:rsidR="005F3723" w:rsidRPr="000650D8">
          <w:rPr>
            <w:rStyle w:val="Lienhypertexte"/>
            <w:b/>
            <w:bCs/>
            <w:sz w:val="20"/>
            <w:szCs w:val="20"/>
            <w:lang w:val="it-IT"/>
          </w:rPr>
          <w:t>www.isteebu.bi</w:t>
        </w:r>
      </w:hyperlink>
    </w:p>
    <w:p w14:paraId="47A0A5FF" w14:textId="77777777" w:rsidR="005F3723" w:rsidRPr="00F5325B" w:rsidRDefault="005F3723" w:rsidP="005F3723">
      <w:pPr>
        <w:widowControl w:val="0"/>
        <w:jc w:val="center"/>
        <w:rPr>
          <w:b/>
          <w:bCs/>
          <w:color w:val="1F497D"/>
          <w:sz w:val="20"/>
          <w:szCs w:val="20"/>
          <w:lang w:val="it-IT"/>
        </w:rPr>
      </w:pPr>
      <w:r>
        <w:rPr>
          <w:b/>
          <w:bCs/>
          <w:color w:val="1F497D"/>
          <w:sz w:val="20"/>
          <w:szCs w:val="20"/>
          <w:lang w:val="it-IT"/>
        </w:rPr>
        <w:t xml:space="preserve">  D</w:t>
      </w:r>
      <w:r w:rsidRPr="000650D8">
        <w:rPr>
          <w:b/>
          <w:bCs/>
          <w:color w:val="1F497D"/>
          <w:sz w:val="20"/>
          <w:szCs w:val="20"/>
          <w:lang w:val="it-IT"/>
        </w:rPr>
        <w:t xml:space="preserve">evise : ‘’ </w:t>
      </w:r>
      <w:r w:rsidRPr="000650D8">
        <w:rPr>
          <w:b/>
          <w:bCs/>
          <w:i/>
          <w:color w:val="1F497D"/>
          <w:sz w:val="20"/>
          <w:szCs w:val="20"/>
          <w:lang w:val="it-IT"/>
        </w:rPr>
        <w:t>En marche avec les Statistiques Fiables au Service du Développement’</w:t>
      </w:r>
    </w:p>
    <w:p w14:paraId="790D12A2" w14:textId="788D8B14" w:rsidR="005F3723" w:rsidRPr="00060C72" w:rsidRDefault="005F3723" w:rsidP="005F3723"/>
    <w:p w14:paraId="3C5DDA93" w14:textId="691D6810" w:rsidR="00DF0938" w:rsidRDefault="00801C0A" w:rsidP="00DF0938">
      <w:pPr>
        <w:rPr>
          <w:rFonts w:ascii="Times New Roman" w:hAnsi="Times New Roman" w:cs="Times New Roman"/>
          <w:b/>
          <w:sz w:val="24"/>
          <w:szCs w:val="24"/>
        </w:rPr>
      </w:pPr>
      <w:r w:rsidRPr="00FA1EF5">
        <w:rPr>
          <w:rFonts w:ascii="Tahoma" w:hAnsi="Tahoma" w:cs="Tahoma"/>
          <w:b/>
          <w:caps/>
          <w:noProof/>
          <w:lang w:eastAsia="fr-FR"/>
        </w:rPr>
        <mc:AlternateContent>
          <mc:Choice Requires="wps">
            <w:drawing>
              <wp:anchor distT="0" distB="0" distL="114300" distR="114300" simplePos="0" relativeHeight="251664384" behindDoc="0" locked="0" layoutInCell="1" allowOverlap="1" wp14:anchorId="1AE38EE5" wp14:editId="1C7F9771">
                <wp:simplePos x="0" y="0"/>
                <wp:positionH relativeFrom="page">
                  <wp:posOffset>57150</wp:posOffset>
                </wp:positionH>
                <wp:positionV relativeFrom="paragraph">
                  <wp:posOffset>203200</wp:posOffset>
                </wp:positionV>
                <wp:extent cx="7439025" cy="504825"/>
                <wp:effectExtent l="0" t="0" r="28575" b="285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9025" cy="504825"/>
                        </a:xfrm>
                        <a:prstGeom prst="rect">
                          <a:avLst/>
                        </a:prstGeom>
                        <a:solidFill>
                          <a:srgbClr val="FFFFFF"/>
                        </a:solidFill>
                        <a:ln w="6350">
                          <a:solidFill>
                            <a:srgbClr val="000000"/>
                          </a:solidFill>
                          <a:miter lim="800000"/>
                          <a:headEnd/>
                          <a:tailEnd/>
                        </a:ln>
                      </wps:spPr>
                      <wps:txbx>
                        <w:txbxContent>
                          <w:p w14:paraId="654B1345" w14:textId="521FD631" w:rsidR="00B0409D" w:rsidRDefault="00B0409D" w:rsidP="005F3723">
                            <w:r w:rsidRPr="0039310D">
                              <w:rPr>
                                <w:rFonts w:ascii="Tahoma" w:hAnsi="Tahoma" w:cs="Tahoma"/>
                                <w:noProof/>
                                <w:lang w:eastAsia="fr-FR"/>
                              </w:rPr>
                              <w:drawing>
                                <wp:inline distT="0" distB="0" distL="0" distR="0" wp14:anchorId="450FF182" wp14:editId="16A0E64C">
                                  <wp:extent cx="1504950" cy="447675"/>
                                  <wp:effectExtent l="0" t="0" r="0" b="9525"/>
                                  <wp:docPr id="926" name="Imag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04950"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418A073F" wp14:editId="12CA8CA9">
                                  <wp:extent cx="1504950" cy="447675"/>
                                  <wp:effectExtent l="0" t="0" r="0" b="9525"/>
                                  <wp:docPr id="927" name="Imag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04950"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29275538" wp14:editId="3FBE0731">
                                  <wp:extent cx="1381125" cy="447675"/>
                                  <wp:effectExtent l="0" t="0" r="9525" b="9525"/>
                                  <wp:docPr id="928" name="Imag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8112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130F7146" wp14:editId="65F5D5C2">
                                  <wp:extent cx="1400175" cy="447675"/>
                                  <wp:effectExtent l="0" t="0" r="9525" b="9525"/>
                                  <wp:docPr id="929" name="Imag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017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2A68F33D" wp14:editId="1748320C">
                                  <wp:extent cx="1400175" cy="447675"/>
                                  <wp:effectExtent l="0" t="0" r="9525" b="9525"/>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017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30A17ECC" wp14:editId="3E8A2A3B">
                                  <wp:extent cx="1571625" cy="447675"/>
                                  <wp:effectExtent l="0" t="0" r="9525" b="9525"/>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71625" cy="447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E38EE5" id="Text Box 11" o:spid="_x0000_s1029" type="#_x0000_t202" style="position:absolute;margin-left:4.5pt;margin-top:16pt;width:585.75pt;height:39.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" strokeweight=".5pt">
                <v:textbox>
                  <w:txbxContent>
                    <w:p w14:paraId="654B1345" w14:textId="521FD631" w:rsidR="00B0409D" w:rsidRDefault="00B0409D" w:rsidP="005F3723">
                      <w:r w:rsidRPr="0039310D">
                        <w:rPr>
                          <w:rFonts w:ascii="Tahoma" w:hAnsi="Tahoma" w:cs="Tahoma"/>
                          <w:noProof/>
                          <w:lang w:eastAsia="fr-FR"/>
                        </w:rPr>
                        <w:drawing>
                          <wp:inline distT="0" distB="0" distL="0" distR="0" wp14:anchorId="450FF182" wp14:editId="16A0E64C">
                            <wp:extent cx="1504950" cy="447675"/>
                            <wp:effectExtent l="0" t="0" r="0" b="9525"/>
                            <wp:docPr id="926" name="Imag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04950"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418A073F" wp14:editId="12CA8CA9">
                            <wp:extent cx="1504950" cy="447675"/>
                            <wp:effectExtent l="0" t="0" r="0" b="9525"/>
                            <wp:docPr id="927" name="Imag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04950"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29275538" wp14:editId="3FBE0731">
                            <wp:extent cx="1381125" cy="447675"/>
                            <wp:effectExtent l="0" t="0" r="9525" b="9525"/>
                            <wp:docPr id="928" name="Imag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8112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130F7146" wp14:editId="65F5D5C2">
                            <wp:extent cx="1400175" cy="447675"/>
                            <wp:effectExtent l="0" t="0" r="9525" b="9525"/>
                            <wp:docPr id="929" name="Imag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017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2A68F33D" wp14:editId="1748320C">
                            <wp:extent cx="1400175" cy="447675"/>
                            <wp:effectExtent l="0" t="0" r="9525" b="9525"/>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0175" cy="447675"/>
                                    </a:xfrm>
                                    <a:prstGeom prst="rect">
                                      <a:avLst/>
                                    </a:prstGeom>
                                    <a:noFill/>
                                    <a:ln>
                                      <a:noFill/>
                                    </a:ln>
                                  </pic:spPr>
                                </pic:pic>
                              </a:graphicData>
                            </a:graphic>
                          </wp:inline>
                        </w:drawing>
                      </w:r>
                      <w:r w:rsidRPr="0039310D">
                        <w:rPr>
                          <w:rFonts w:ascii="Tahoma" w:hAnsi="Tahoma" w:cs="Tahoma"/>
                          <w:noProof/>
                          <w:lang w:eastAsia="fr-FR"/>
                        </w:rPr>
                        <w:drawing>
                          <wp:inline distT="0" distB="0" distL="0" distR="0" wp14:anchorId="30A17ECC" wp14:editId="3E8A2A3B">
                            <wp:extent cx="1571625" cy="447675"/>
                            <wp:effectExtent l="0" t="0" r="9525" b="9525"/>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1625" cy="447675"/>
                                    </a:xfrm>
                                    <a:prstGeom prst="rect">
                                      <a:avLst/>
                                    </a:prstGeom>
                                    <a:noFill/>
                                    <a:ln>
                                      <a:noFill/>
                                    </a:ln>
                                  </pic:spPr>
                                </pic:pic>
                              </a:graphicData>
                            </a:graphic>
                          </wp:inline>
                        </w:drawing>
                      </w:r>
                    </w:p>
                  </w:txbxContent>
                </v:textbox>
                <w10:wrap anchorx="page"/>
              </v:shape>
            </w:pict>
          </mc:Fallback>
        </mc:AlternateContent>
      </w:r>
    </w:p>
    <w:p w14:paraId="3F7AA67C" w14:textId="56C99E88" w:rsidR="00DF0938" w:rsidRDefault="00DF0938" w:rsidP="00DF0938">
      <w:pPr>
        <w:rPr>
          <w:rFonts w:ascii="Times New Roman" w:hAnsi="Times New Roman" w:cs="Times New Roman"/>
          <w:b/>
          <w:sz w:val="24"/>
          <w:szCs w:val="24"/>
        </w:rPr>
      </w:pPr>
    </w:p>
    <w:p w14:paraId="39137AAC" w14:textId="16655E81" w:rsidR="00DF0938" w:rsidRDefault="00DF0938" w:rsidP="00DF0938">
      <w:pPr>
        <w:rPr>
          <w:rFonts w:ascii="Times New Roman" w:hAnsi="Times New Roman" w:cs="Times New Roman"/>
          <w:b/>
          <w:sz w:val="24"/>
          <w:szCs w:val="24"/>
        </w:rPr>
      </w:pPr>
    </w:p>
    <w:p w14:paraId="67F1AAB0" w14:textId="4266397B" w:rsidR="005F3723" w:rsidRDefault="005F3723" w:rsidP="00DF0938">
      <w:pPr>
        <w:rPr>
          <w:rFonts w:ascii="Times New Roman" w:hAnsi="Times New Roman" w:cs="Times New Roman"/>
          <w:b/>
          <w:sz w:val="24"/>
          <w:szCs w:val="24"/>
        </w:rPr>
      </w:pPr>
      <w:r w:rsidRPr="00892EE1">
        <w:rPr>
          <w:rFonts w:ascii="Times New Roman" w:hAnsi="Times New Roman" w:cs="Times New Roman"/>
          <w:b/>
          <w:sz w:val="24"/>
          <w:szCs w:val="24"/>
        </w:rPr>
        <w:lastRenderedPageBreak/>
        <w:t>Equipe technique</w:t>
      </w:r>
    </w:p>
    <w:p w14:paraId="66B7FC8C" w14:textId="77777777" w:rsidR="00BA263E" w:rsidRDefault="00BA263E" w:rsidP="00DF0938">
      <w:pPr>
        <w:rPr>
          <w:rFonts w:ascii="Times New Roman" w:hAnsi="Times New Roman" w:cs="Times New Roman"/>
          <w:b/>
          <w:sz w:val="24"/>
          <w:szCs w:val="24"/>
        </w:rPr>
      </w:pPr>
    </w:p>
    <w:p w14:paraId="3D2E14BA" w14:textId="454A5552" w:rsidR="00132B72" w:rsidRPr="00892EE1" w:rsidRDefault="00132B72" w:rsidP="00662742">
      <w:pPr>
        <w:jc w:val="both"/>
        <w:rPr>
          <w:rFonts w:ascii="Times New Roman" w:hAnsi="Times New Roman" w:cs="Times New Roman"/>
          <w:b/>
          <w:sz w:val="24"/>
          <w:szCs w:val="24"/>
        </w:rPr>
      </w:pPr>
      <w:r w:rsidRPr="00892EE1">
        <w:rPr>
          <w:rFonts w:ascii="Times New Roman" w:hAnsi="Times New Roman" w:cs="Times New Roman"/>
          <w:b/>
          <w:sz w:val="24"/>
          <w:szCs w:val="24"/>
        </w:rPr>
        <w:t xml:space="preserve">Supervision générale </w:t>
      </w:r>
    </w:p>
    <w:p w14:paraId="2BDE07E7" w14:textId="2112568F" w:rsidR="00662742" w:rsidRPr="00481676" w:rsidRDefault="00132B72" w:rsidP="00481676">
      <w:pPr>
        <w:jc w:val="both"/>
        <w:rPr>
          <w:rFonts w:ascii="Times New Roman" w:hAnsi="Times New Roman" w:cs="Times New Roman"/>
          <w:sz w:val="24"/>
          <w:szCs w:val="24"/>
        </w:rPr>
      </w:pPr>
      <w:r w:rsidRPr="00481676">
        <w:rPr>
          <w:rFonts w:ascii="Times New Roman" w:hAnsi="Times New Roman" w:cs="Times New Roman"/>
          <w:sz w:val="24"/>
          <w:szCs w:val="24"/>
        </w:rPr>
        <w:t>Directeur</w:t>
      </w:r>
      <w:r w:rsidR="00662742" w:rsidRPr="00481676">
        <w:rPr>
          <w:rFonts w:ascii="Times New Roman" w:hAnsi="Times New Roman" w:cs="Times New Roman"/>
          <w:sz w:val="24"/>
          <w:szCs w:val="24"/>
        </w:rPr>
        <w:t xml:space="preserve"> </w:t>
      </w:r>
      <w:r w:rsidRPr="00481676">
        <w:rPr>
          <w:rFonts w:ascii="Times New Roman" w:hAnsi="Times New Roman" w:cs="Times New Roman"/>
          <w:sz w:val="24"/>
          <w:szCs w:val="24"/>
        </w:rPr>
        <w:t>Général</w:t>
      </w:r>
      <w:r w:rsidR="00AE468F">
        <w:rPr>
          <w:rFonts w:ascii="Times New Roman" w:hAnsi="Times New Roman" w:cs="Times New Roman"/>
          <w:sz w:val="24"/>
          <w:szCs w:val="24"/>
        </w:rPr>
        <w:t xml:space="preserve"> ai</w:t>
      </w:r>
      <w:r w:rsidR="00662742" w:rsidRPr="00481676">
        <w:rPr>
          <w:rFonts w:ascii="Times New Roman" w:hAnsi="Times New Roman" w:cs="Times New Roman"/>
          <w:sz w:val="24"/>
          <w:szCs w:val="24"/>
        </w:rPr>
        <w:t xml:space="preserve"> : </w:t>
      </w:r>
      <w:r w:rsidR="00CC777A" w:rsidRPr="00481676">
        <w:rPr>
          <w:rFonts w:ascii="Times New Roman" w:hAnsi="Times New Roman" w:cs="Times New Roman"/>
          <w:sz w:val="24"/>
          <w:szCs w:val="24"/>
        </w:rPr>
        <w:t xml:space="preserve">Mr </w:t>
      </w:r>
      <w:r w:rsidRPr="00481676">
        <w:rPr>
          <w:rFonts w:ascii="Times New Roman" w:hAnsi="Times New Roman" w:cs="Times New Roman"/>
          <w:sz w:val="24"/>
          <w:szCs w:val="24"/>
        </w:rPr>
        <w:t>NDAYISHIMIYE</w:t>
      </w:r>
      <w:r w:rsidR="00662742" w:rsidRPr="00481676">
        <w:rPr>
          <w:rFonts w:ascii="Times New Roman" w:hAnsi="Times New Roman" w:cs="Times New Roman"/>
          <w:sz w:val="24"/>
          <w:szCs w:val="24"/>
        </w:rPr>
        <w:t xml:space="preserve"> </w:t>
      </w:r>
      <w:r w:rsidRPr="00481676">
        <w:rPr>
          <w:rFonts w:ascii="Times New Roman" w:hAnsi="Times New Roman" w:cs="Times New Roman"/>
          <w:sz w:val="24"/>
          <w:szCs w:val="24"/>
        </w:rPr>
        <w:t>Nicolas</w:t>
      </w:r>
    </w:p>
    <w:p w14:paraId="7FE1E4B5" w14:textId="77777777" w:rsidR="00662742" w:rsidRPr="00892EE1" w:rsidRDefault="00132B72" w:rsidP="00662742">
      <w:pPr>
        <w:jc w:val="both"/>
        <w:rPr>
          <w:rFonts w:ascii="Times New Roman" w:hAnsi="Times New Roman" w:cs="Times New Roman"/>
          <w:b/>
          <w:sz w:val="24"/>
          <w:szCs w:val="24"/>
        </w:rPr>
      </w:pPr>
      <w:r w:rsidRPr="00892EE1">
        <w:rPr>
          <w:rFonts w:ascii="Times New Roman" w:hAnsi="Times New Roman" w:cs="Times New Roman"/>
          <w:b/>
          <w:sz w:val="24"/>
          <w:szCs w:val="24"/>
        </w:rPr>
        <w:t>Coordination</w:t>
      </w:r>
      <w:r w:rsidR="00662742" w:rsidRPr="00892EE1">
        <w:rPr>
          <w:rFonts w:ascii="Times New Roman" w:hAnsi="Times New Roman" w:cs="Times New Roman"/>
          <w:b/>
          <w:sz w:val="24"/>
          <w:szCs w:val="24"/>
        </w:rPr>
        <w:t xml:space="preserve"> </w:t>
      </w:r>
      <w:r w:rsidRPr="00892EE1">
        <w:rPr>
          <w:rFonts w:ascii="Times New Roman" w:hAnsi="Times New Roman" w:cs="Times New Roman"/>
          <w:b/>
          <w:sz w:val="24"/>
          <w:szCs w:val="24"/>
        </w:rPr>
        <w:t>technique</w:t>
      </w:r>
    </w:p>
    <w:p w14:paraId="180FF203" w14:textId="3E60B497" w:rsidR="00662742" w:rsidRPr="00481676" w:rsidRDefault="00132B72" w:rsidP="00481676">
      <w:pPr>
        <w:spacing w:line="360" w:lineRule="auto"/>
        <w:jc w:val="both"/>
        <w:rPr>
          <w:rFonts w:ascii="Times New Roman" w:hAnsi="Times New Roman" w:cs="Times New Roman"/>
          <w:sz w:val="24"/>
          <w:szCs w:val="24"/>
        </w:rPr>
      </w:pPr>
      <w:r w:rsidRPr="00481676">
        <w:rPr>
          <w:rFonts w:ascii="Times New Roman" w:hAnsi="Times New Roman" w:cs="Times New Roman"/>
          <w:sz w:val="24"/>
          <w:szCs w:val="24"/>
        </w:rPr>
        <w:t>Directeur</w:t>
      </w:r>
      <w:r w:rsidR="00C3587C">
        <w:rPr>
          <w:rFonts w:ascii="Times New Roman" w:hAnsi="Times New Roman" w:cs="Times New Roman"/>
          <w:sz w:val="24"/>
          <w:szCs w:val="24"/>
        </w:rPr>
        <w:t xml:space="preserve"> Technique</w:t>
      </w:r>
      <w:r w:rsidR="00AE468F">
        <w:rPr>
          <w:rFonts w:ascii="Times New Roman" w:hAnsi="Times New Roman" w:cs="Times New Roman"/>
          <w:sz w:val="24"/>
          <w:szCs w:val="24"/>
        </w:rPr>
        <w:t xml:space="preserve"> ai</w:t>
      </w:r>
      <w:r w:rsidR="00C3587C">
        <w:rPr>
          <w:rFonts w:ascii="Times New Roman" w:hAnsi="Times New Roman" w:cs="Times New Roman"/>
          <w:sz w:val="24"/>
          <w:szCs w:val="24"/>
        </w:rPr>
        <w:t xml:space="preserve"> </w:t>
      </w:r>
      <w:r w:rsidR="00662742" w:rsidRPr="00481676">
        <w:rPr>
          <w:rFonts w:ascii="Times New Roman" w:hAnsi="Times New Roman" w:cs="Times New Roman"/>
          <w:sz w:val="24"/>
          <w:szCs w:val="24"/>
        </w:rPr>
        <w:t xml:space="preserve">: </w:t>
      </w:r>
      <w:r w:rsidR="00CC777A" w:rsidRPr="00481676">
        <w:rPr>
          <w:rFonts w:ascii="Times New Roman" w:hAnsi="Times New Roman" w:cs="Times New Roman"/>
          <w:sz w:val="24"/>
          <w:szCs w:val="24"/>
        </w:rPr>
        <w:t xml:space="preserve">Mr </w:t>
      </w:r>
      <w:r w:rsidRPr="00481676">
        <w:rPr>
          <w:rFonts w:ascii="Times New Roman" w:hAnsi="Times New Roman" w:cs="Times New Roman"/>
          <w:sz w:val="24"/>
          <w:szCs w:val="24"/>
        </w:rPr>
        <w:t>SIBOMANA</w:t>
      </w:r>
      <w:r w:rsidR="00662742" w:rsidRPr="00481676">
        <w:rPr>
          <w:rFonts w:ascii="Times New Roman" w:hAnsi="Times New Roman" w:cs="Times New Roman"/>
          <w:sz w:val="24"/>
          <w:szCs w:val="24"/>
        </w:rPr>
        <w:t xml:space="preserve"> J</w:t>
      </w:r>
      <w:r w:rsidRPr="00481676">
        <w:rPr>
          <w:rFonts w:ascii="Times New Roman" w:hAnsi="Times New Roman" w:cs="Times New Roman"/>
          <w:sz w:val="24"/>
          <w:szCs w:val="24"/>
        </w:rPr>
        <w:t>ean</w:t>
      </w:r>
      <w:r w:rsidR="00662742" w:rsidRPr="00481676">
        <w:rPr>
          <w:rFonts w:ascii="Times New Roman" w:hAnsi="Times New Roman" w:cs="Times New Roman"/>
          <w:sz w:val="24"/>
          <w:szCs w:val="24"/>
        </w:rPr>
        <w:t xml:space="preserve"> </w:t>
      </w:r>
      <w:r w:rsidRPr="00481676">
        <w:rPr>
          <w:rFonts w:ascii="Times New Roman" w:hAnsi="Times New Roman" w:cs="Times New Roman"/>
          <w:sz w:val="24"/>
          <w:szCs w:val="24"/>
        </w:rPr>
        <w:t>Claude</w:t>
      </w:r>
    </w:p>
    <w:p w14:paraId="36C4131D" w14:textId="77777777" w:rsidR="00662742" w:rsidRPr="00892EE1" w:rsidRDefault="00132B72" w:rsidP="00662742">
      <w:pPr>
        <w:ind w:left="45"/>
        <w:jc w:val="both"/>
        <w:rPr>
          <w:rFonts w:ascii="Times New Roman" w:hAnsi="Times New Roman" w:cs="Times New Roman"/>
          <w:b/>
          <w:sz w:val="24"/>
          <w:szCs w:val="24"/>
        </w:rPr>
      </w:pPr>
      <w:r w:rsidRPr="00662742">
        <w:rPr>
          <w:rFonts w:ascii="Times New Roman" w:hAnsi="Times New Roman" w:cs="Times New Roman"/>
          <w:sz w:val="24"/>
          <w:szCs w:val="24"/>
        </w:rPr>
        <w:t xml:space="preserve"> </w:t>
      </w:r>
      <w:r w:rsidRPr="00892EE1">
        <w:rPr>
          <w:rFonts w:ascii="Times New Roman" w:hAnsi="Times New Roman" w:cs="Times New Roman"/>
          <w:b/>
          <w:sz w:val="24"/>
          <w:szCs w:val="24"/>
        </w:rPr>
        <w:t>Equipe</w:t>
      </w:r>
      <w:r w:rsidR="00662742" w:rsidRPr="00892EE1">
        <w:rPr>
          <w:rFonts w:ascii="Times New Roman" w:hAnsi="Times New Roman" w:cs="Times New Roman"/>
          <w:b/>
          <w:sz w:val="24"/>
          <w:szCs w:val="24"/>
        </w:rPr>
        <w:t xml:space="preserve"> </w:t>
      </w:r>
      <w:r w:rsidRPr="00892EE1">
        <w:rPr>
          <w:rFonts w:ascii="Times New Roman" w:hAnsi="Times New Roman" w:cs="Times New Roman"/>
          <w:b/>
          <w:sz w:val="24"/>
          <w:szCs w:val="24"/>
        </w:rPr>
        <w:t>de</w:t>
      </w:r>
      <w:r w:rsidR="00662742" w:rsidRPr="00892EE1">
        <w:rPr>
          <w:rFonts w:ascii="Times New Roman" w:hAnsi="Times New Roman" w:cs="Times New Roman"/>
          <w:b/>
          <w:sz w:val="24"/>
          <w:szCs w:val="24"/>
        </w:rPr>
        <w:t xml:space="preserve"> </w:t>
      </w:r>
      <w:r w:rsidRPr="00892EE1">
        <w:rPr>
          <w:rFonts w:ascii="Times New Roman" w:hAnsi="Times New Roman" w:cs="Times New Roman"/>
          <w:b/>
          <w:sz w:val="24"/>
          <w:szCs w:val="24"/>
        </w:rPr>
        <w:t xml:space="preserve">rédaction </w:t>
      </w:r>
    </w:p>
    <w:p w14:paraId="1B1E17F4" w14:textId="440BF146" w:rsidR="00662742" w:rsidRPr="00662742" w:rsidRDefault="00132B72" w:rsidP="00662742">
      <w:pPr>
        <w:ind w:left="45"/>
        <w:jc w:val="both"/>
        <w:rPr>
          <w:rFonts w:ascii="Times New Roman" w:hAnsi="Times New Roman" w:cs="Times New Roman"/>
          <w:sz w:val="24"/>
          <w:szCs w:val="24"/>
        </w:rPr>
      </w:pPr>
      <w:r w:rsidRPr="00662742">
        <w:rPr>
          <w:rFonts w:ascii="Times New Roman" w:hAnsi="Times New Roman" w:cs="Times New Roman"/>
          <w:sz w:val="24"/>
          <w:szCs w:val="24"/>
        </w:rPr>
        <w:t>1.</w:t>
      </w:r>
      <w:r w:rsidR="004308C8">
        <w:rPr>
          <w:rFonts w:ascii="Times New Roman" w:hAnsi="Times New Roman" w:cs="Times New Roman"/>
          <w:sz w:val="24"/>
          <w:szCs w:val="24"/>
        </w:rPr>
        <w:t>Mr NDAGIJIMANA Pascal</w:t>
      </w:r>
      <w:r w:rsidRPr="00662742">
        <w:rPr>
          <w:rFonts w:ascii="Times New Roman" w:hAnsi="Times New Roman" w:cs="Times New Roman"/>
          <w:sz w:val="24"/>
          <w:szCs w:val="24"/>
        </w:rPr>
        <w:t>,</w:t>
      </w:r>
      <w:r w:rsidR="00662742" w:rsidRPr="00662742">
        <w:rPr>
          <w:rFonts w:ascii="Times New Roman" w:hAnsi="Times New Roman" w:cs="Times New Roman"/>
          <w:sz w:val="24"/>
          <w:szCs w:val="24"/>
        </w:rPr>
        <w:t xml:space="preserve"> </w:t>
      </w:r>
      <w:r w:rsidR="00CB7274">
        <w:rPr>
          <w:rFonts w:ascii="Times New Roman" w:hAnsi="Times New Roman" w:cs="Times New Roman"/>
          <w:sz w:val="24"/>
          <w:szCs w:val="24"/>
        </w:rPr>
        <w:t>Chef de service « Etudes et Statistiques des Entreprises »</w:t>
      </w:r>
    </w:p>
    <w:p w14:paraId="6C89AC00" w14:textId="1C5E20DA" w:rsidR="00662742" w:rsidRPr="00662742" w:rsidRDefault="00132B72" w:rsidP="00662742">
      <w:pPr>
        <w:ind w:left="45"/>
        <w:jc w:val="both"/>
        <w:rPr>
          <w:rFonts w:ascii="Times New Roman" w:hAnsi="Times New Roman" w:cs="Times New Roman"/>
          <w:sz w:val="24"/>
          <w:szCs w:val="24"/>
        </w:rPr>
      </w:pPr>
      <w:r w:rsidRPr="00662742">
        <w:rPr>
          <w:rFonts w:ascii="Times New Roman" w:hAnsi="Times New Roman" w:cs="Times New Roman"/>
          <w:sz w:val="24"/>
          <w:szCs w:val="24"/>
        </w:rPr>
        <w:t>2.</w:t>
      </w:r>
      <w:r w:rsidR="00957779" w:rsidRPr="00662742">
        <w:rPr>
          <w:rFonts w:ascii="Times New Roman" w:hAnsi="Times New Roman" w:cs="Times New Roman"/>
          <w:sz w:val="24"/>
          <w:szCs w:val="24"/>
        </w:rPr>
        <w:t>M</w:t>
      </w:r>
      <w:r w:rsidR="00CA2348">
        <w:rPr>
          <w:rFonts w:ascii="Times New Roman" w:hAnsi="Times New Roman" w:cs="Times New Roman"/>
          <w:sz w:val="24"/>
          <w:szCs w:val="24"/>
        </w:rPr>
        <w:t>me</w:t>
      </w:r>
      <w:r w:rsidR="00957779">
        <w:rPr>
          <w:rFonts w:ascii="Times New Roman" w:hAnsi="Times New Roman" w:cs="Times New Roman"/>
          <w:sz w:val="24"/>
          <w:szCs w:val="24"/>
        </w:rPr>
        <w:t xml:space="preserve"> </w:t>
      </w:r>
      <w:r w:rsidR="00C3587C">
        <w:rPr>
          <w:rFonts w:ascii="Times New Roman" w:hAnsi="Times New Roman" w:cs="Times New Roman"/>
          <w:sz w:val="24"/>
          <w:szCs w:val="24"/>
        </w:rPr>
        <w:t>ND</w:t>
      </w:r>
      <w:r w:rsidR="00957779">
        <w:rPr>
          <w:rFonts w:ascii="Times New Roman" w:hAnsi="Times New Roman" w:cs="Times New Roman"/>
          <w:sz w:val="24"/>
          <w:szCs w:val="24"/>
        </w:rPr>
        <w:t>I</w:t>
      </w:r>
      <w:r w:rsidR="00C3587C">
        <w:rPr>
          <w:rFonts w:ascii="Times New Roman" w:hAnsi="Times New Roman" w:cs="Times New Roman"/>
          <w:sz w:val="24"/>
          <w:szCs w:val="24"/>
        </w:rPr>
        <w:t>KUMANA</w:t>
      </w:r>
      <w:r w:rsidR="00957779">
        <w:rPr>
          <w:rFonts w:ascii="Times New Roman" w:hAnsi="Times New Roman" w:cs="Times New Roman"/>
          <w:sz w:val="24"/>
          <w:szCs w:val="24"/>
        </w:rPr>
        <w:t xml:space="preserve"> </w:t>
      </w:r>
      <w:proofErr w:type="spellStart"/>
      <w:r w:rsidR="00C3587C">
        <w:rPr>
          <w:rFonts w:ascii="Times New Roman" w:hAnsi="Times New Roman" w:cs="Times New Roman"/>
          <w:sz w:val="24"/>
          <w:szCs w:val="24"/>
        </w:rPr>
        <w:t>Br</w:t>
      </w:r>
      <w:r w:rsidR="00957779">
        <w:rPr>
          <w:rFonts w:ascii="Times New Roman" w:hAnsi="Times New Roman" w:cs="Times New Roman"/>
          <w:sz w:val="24"/>
          <w:szCs w:val="24"/>
        </w:rPr>
        <w:t>é</w:t>
      </w:r>
      <w:r w:rsidR="00C3587C">
        <w:rPr>
          <w:rFonts w:ascii="Times New Roman" w:hAnsi="Times New Roman" w:cs="Times New Roman"/>
          <w:sz w:val="24"/>
          <w:szCs w:val="24"/>
        </w:rPr>
        <w:t>vé</w:t>
      </w:r>
      <w:r w:rsidR="00957779">
        <w:rPr>
          <w:rFonts w:ascii="Times New Roman" w:hAnsi="Times New Roman" w:cs="Times New Roman"/>
          <w:sz w:val="24"/>
          <w:szCs w:val="24"/>
        </w:rPr>
        <w:t>li</w:t>
      </w:r>
      <w:r w:rsidR="00C3587C">
        <w:rPr>
          <w:rFonts w:ascii="Times New Roman" w:hAnsi="Times New Roman" w:cs="Times New Roman"/>
          <w:sz w:val="24"/>
          <w:szCs w:val="24"/>
        </w:rPr>
        <w:t>en</w:t>
      </w:r>
      <w:proofErr w:type="spellEnd"/>
      <w:r w:rsidRPr="00662742">
        <w:rPr>
          <w:rFonts w:ascii="Times New Roman" w:hAnsi="Times New Roman" w:cs="Times New Roman"/>
          <w:sz w:val="24"/>
          <w:szCs w:val="24"/>
        </w:rPr>
        <w:t>,</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cadre</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en</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charge</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des</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statistiques</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auprès</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des</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entreprises</w:t>
      </w:r>
    </w:p>
    <w:p w14:paraId="12288E86" w14:textId="4C33FBEB" w:rsidR="00EF5EC3" w:rsidRDefault="00AE468F" w:rsidP="00EF5EC3">
      <w:pPr>
        <w:ind w:left="45"/>
        <w:jc w:val="both"/>
        <w:rPr>
          <w:rFonts w:ascii="Times New Roman" w:hAnsi="Times New Roman" w:cs="Times New Roman"/>
          <w:sz w:val="24"/>
          <w:szCs w:val="24"/>
        </w:rPr>
      </w:pPr>
      <w:r>
        <w:rPr>
          <w:rFonts w:ascii="Times New Roman" w:hAnsi="Times New Roman" w:cs="Times New Roman"/>
          <w:sz w:val="24"/>
          <w:szCs w:val="24"/>
        </w:rPr>
        <w:t>3</w:t>
      </w:r>
      <w:r w:rsidR="00EF5EC3">
        <w:rPr>
          <w:rFonts w:ascii="Times New Roman" w:hAnsi="Times New Roman" w:cs="Times New Roman"/>
          <w:sz w:val="24"/>
          <w:szCs w:val="24"/>
        </w:rPr>
        <w:t xml:space="preserve">. Mr NDAYISABA Gervais, </w:t>
      </w:r>
      <w:r w:rsidR="00EF5EC3" w:rsidRPr="00662742">
        <w:rPr>
          <w:rFonts w:ascii="Times New Roman" w:hAnsi="Times New Roman" w:cs="Times New Roman"/>
          <w:sz w:val="24"/>
          <w:szCs w:val="24"/>
        </w:rPr>
        <w:t>chargé de la collecte</w:t>
      </w:r>
      <w:r w:rsidR="00EF5EC3">
        <w:rPr>
          <w:rFonts w:ascii="Times New Roman" w:hAnsi="Times New Roman" w:cs="Times New Roman"/>
          <w:sz w:val="24"/>
          <w:szCs w:val="24"/>
        </w:rPr>
        <w:t xml:space="preserve">, </w:t>
      </w:r>
      <w:r w:rsidR="00EF5EC3" w:rsidRPr="00662742">
        <w:rPr>
          <w:rFonts w:ascii="Times New Roman" w:hAnsi="Times New Roman" w:cs="Times New Roman"/>
          <w:sz w:val="24"/>
          <w:szCs w:val="24"/>
        </w:rPr>
        <w:t>saisie</w:t>
      </w:r>
      <w:r w:rsidR="00EF5EC3">
        <w:rPr>
          <w:rFonts w:ascii="Times New Roman" w:hAnsi="Times New Roman" w:cs="Times New Roman"/>
          <w:sz w:val="24"/>
          <w:szCs w:val="24"/>
        </w:rPr>
        <w:t xml:space="preserve"> et traitement</w:t>
      </w:r>
      <w:r w:rsidR="00EF5EC3" w:rsidRPr="00662742">
        <w:rPr>
          <w:rFonts w:ascii="Times New Roman" w:hAnsi="Times New Roman" w:cs="Times New Roman"/>
          <w:sz w:val="24"/>
          <w:szCs w:val="24"/>
        </w:rPr>
        <w:t xml:space="preserve"> des données des entreprises échantillon de l’I</w:t>
      </w:r>
      <w:r w:rsidR="00EF5EC3">
        <w:rPr>
          <w:rFonts w:ascii="Times New Roman" w:hAnsi="Times New Roman" w:cs="Times New Roman"/>
          <w:sz w:val="24"/>
          <w:szCs w:val="24"/>
        </w:rPr>
        <w:t>CA</w:t>
      </w:r>
    </w:p>
    <w:p w14:paraId="760599E0" w14:textId="2AF3B128" w:rsidR="00EF5EC3" w:rsidRDefault="00EF5EC3" w:rsidP="00D458FC">
      <w:pPr>
        <w:ind w:left="45"/>
        <w:jc w:val="both"/>
        <w:rPr>
          <w:rFonts w:ascii="Times New Roman" w:hAnsi="Times New Roman" w:cs="Times New Roman"/>
          <w:sz w:val="24"/>
          <w:szCs w:val="24"/>
        </w:rPr>
      </w:pPr>
      <w:r>
        <w:rPr>
          <w:rFonts w:ascii="Times New Roman" w:hAnsi="Times New Roman" w:cs="Times New Roman"/>
          <w:sz w:val="24"/>
          <w:szCs w:val="24"/>
        </w:rPr>
        <w:t xml:space="preserve">. </w:t>
      </w:r>
    </w:p>
    <w:p w14:paraId="0D0CC6C7" w14:textId="2340836A" w:rsidR="00662742" w:rsidRPr="00892EE1" w:rsidRDefault="00132B72" w:rsidP="00D458FC">
      <w:pPr>
        <w:jc w:val="both"/>
        <w:rPr>
          <w:rFonts w:ascii="Times New Roman" w:hAnsi="Times New Roman" w:cs="Times New Roman"/>
          <w:b/>
          <w:sz w:val="24"/>
          <w:szCs w:val="24"/>
        </w:rPr>
      </w:pPr>
      <w:r w:rsidRPr="00892EE1">
        <w:rPr>
          <w:rFonts w:ascii="Times New Roman" w:hAnsi="Times New Roman" w:cs="Times New Roman"/>
          <w:b/>
          <w:sz w:val="24"/>
          <w:szCs w:val="24"/>
        </w:rPr>
        <w:t>Diffusion</w:t>
      </w:r>
    </w:p>
    <w:p w14:paraId="3E3269E1" w14:textId="77777777" w:rsidR="00132B72" w:rsidRPr="00662742" w:rsidRDefault="00132B72" w:rsidP="00662742">
      <w:pPr>
        <w:ind w:left="45"/>
        <w:jc w:val="both"/>
        <w:rPr>
          <w:rFonts w:ascii="Times New Roman" w:hAnsi="Times New Roman" w:cs="Times New Roman"/>
          <w:sz w:val="24"/>
          <w:szCs w:val="24"/>
        </w:rPr>
      </w:pPr>
      <w:r w:rsidRPr="00662742">
        <w:rPr>
          <w:rFonts w:ascii="Times New Roman" w:hAnsi="Times New Roman" w:cs="Times New Roman"/>
          <w:sz w:val="24"/>
          <w:szCs w:val="24"/>
        </w:rPr>
        <w:t>1. Chef</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de</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la</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cellule</w:t>
      </w:r>
      <w:r w:rsidR="00662742" w:rsidRPr="00662742">
        <w:rPr>
          <w:rFonts w:ascii="Times New Roman" w:hAnsi="Times New Roman" w:cs="Times New Roman"/>
          <w:sz w:val="24"/>
          <w:szCs w:val="24"/>
        </w:rPr>
        <w:t xml:space="preserve"> « </w:t>
      </w:r>
      <w:r w:rsidRPr="00662742">
        <w:rPr>
          <w:rFonts w:ascii="Times New Roman" w:hAnsi="Times New Roman" w:cs="Times New Roman"/>
          <w:sz w:val="24"/>
          <w:szCs w:val="24"/>
        </w:rPr>
        <w:t>Traitement,</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Publication,</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Diffusion,</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Archivage</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et</w:t>
      </w:r>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Documentation</w:t>
      </w:r>
      <w:r w:rsidR="00662742" w:rsidRPr="00662742">
        <w:rPr>
          <w:rFonts w:ascii="Times New Roman" w:hAnsi="Times New Roman" w:cs="Times New Roman"/>
          <w:sz w:val="24"/>
          <w:szCs w:val="24"/>
        </w:rPr>
        <w:t xml:space="preserve"> Statistique » </w:t>
      </w:r>
      <w:r w:rsidR="00770CC4">
        <w:rPr>
          <w:rFonts w:ascii="Times New Roman" w:hAnsi="Times New Roman" w:cs="Times New Roman"/>
          <w:sz w:val="24"/>
          <w:szCs w:val="24"/>
        </w:rPr>
        <w:t xml:space="preserve">Mme </w:t>
      </w:r>
      <w:proofErr w:type="spellStart"/>
      <w:r w:rsidRPr="00662742">
        <w:rPr>
          <w:rFonts w:ascii="Times New Roman" w:hAnsi="Times New Roman" w:cs="Times New Roman"/>
          <w:sz w:val="24"/>
          <w:szCs w:val="24"/>
        </w:rPr>
        <w:t>Spès</w:t>
      </w:r>
      <w:proofErr w:type="spellEnd"/>
      <w:r w:rsidR="00662742" w:rsidRPr="00662742">
        <w:rPr>
          <w:rFonts w:ascii="Times New Roman" w:hAnsi="Times New Roman" w:cs="Times New Roman"/>
          <w:sz w:val="24"/>
          <w:szCs w:val="24"/>
        </w:rPr>
        <w:t xml:space="preserve"> </w:t>
      </w:r>
      <w:r w:rsidRPr="00662742">
        <w:rPr>
          <w:rFonts w:ascii="Times New Roman" w:hAnsi="Times New Roman" w:cs="Times New Roman"/>
          <w:sz w:val="24"/>
          <w:szCs w:val="24"/>
        </w:rPr>
        <w:t>NIMBONA</w:t>
      </w:r>
    </w:p>
    <w:p w14:paraId="2F14AF50" w14:textId="0C4219A5" w:rsidR="00132B72" w:rsidRPr="00662742" w:rsidRDefault="00132B72" w:rsidP="00662742">
      <w:pPr>
        <w:jc w:val="both"/>
        <w:rPr>
          <w:rFonts w:ascii="Times New Roman" w:hAnsi="Times New Roman" w:cs="Times New Roman"/>
          <w:sz w:val="24"/>
          <w:szCs w:val="24"/>
        </w:rPr>
      </w:pPr>
      <w:r w:rsidRPr="00662742">
        <w:rPr>
          <w:rFonts w:ascii="Times New Roman" w:hAnsi="Times New Roman" w:cs="Times New Roman"/>
          <w:sz w:val="24"/>
          <w:szCs w:val="24"/>
        </w:rPr>
        <w:t xml:space="preserve"> Date de production : </w:t>
      </w:r>
      <w:r w:rsidR="00233870">
        <w:rPr>
          <w:rFonts w:ascii="Times New Roman" w:hAnsi="Times New Roman" w:cs="Times New Roman"/>
          <w:sz w:val="24"/>
          <w:szCs w:val="24"/>
        </w:rPr>
        <w:t>2</w:t>
      </w:r>
      <w:r w:rsidR="0044435C">
        <w:rPr>
          <w:rFonts w:ascii="Times New Roman" w:hAnsi="Times New Roman" w:cs="Times New Roman"/>
          <w:sz w:val="24"/>
          <w:szCs w:val="24"/>
        </w:rPr>
        <w:t>6</w:t>
      </w:r>
      <w:r w:rsidR="004D1C45">
        <w:rPr>
          <w:rFonts w:ascii="Times New Roman" w:hAnsi="Times New Roman" w:cs="Times New Roman"/>
          <w:sz w:val="24"/>
          <w:szCs w:val="24"/>
        </w:rPr>
        <w:t>/</w:t>
      </w:r>
      <w:r w:rsidR="00233870">
        <w:rPr>
          <w:rFonts w:ascii="Times New Roman" w:hAnsi="Times New Roman" w:cs="Times New Roman"/>
          <w:sz w:val="24"/>
          <w:szCs w:val="24"/>
        </w:rPr>
        <w:t>0</w:t>
      </w:r>
      <w:r w:rsidR="00E51EE2">
        <w:rPr>
          <w:rFonts w:ascii="Times New Roman" w:hAnsi="Times New Roman" w:cs="Times New Roman"/>
          <w:sz w:val="24"/>
          <w:szCs w:val="24"/>
        </w:rPr>
        <w:t>5</w:t>
      </w:r>
      <w:r w:rsidR="003E4B40">
        <w:rPr>
          <w:rFonts w:ascii="Times New Roman" w:hAnsi="Times New Roman" w:cs="Times New Roman"/>
          <w:sz w:val="24"/>
          <w:szCs w:val="24"/>
        </w:rPr>
        <w:t>/202</w:t>
      </w:r>
      <w:r w:rsidR="00E51EE2">
        <w:rPr>
          <w:rFonts w:ascii="Times New Roman" w:hAnsi="Times New Roman" w:cs="Times New Roman"/>
          <w:sz w:val="24"/>
          <w:szCs w:val="24"/>
        </w:rPr>
        <w:t>3</w:t>
      </w:r>
    </w:p>
    <w:p w14:paraId="479649FB" w14:textId="0A439CC7" w:rsidR="00132B72" w:rsidRPr="00662742" w:rsidRDefault="00132B72" w:rsidP="00662742">
      <w:pPr>
        <w:jc w:val="both"/>
        <w:rPr>
          <w:rFonts w:ascii="Times New Roman" w:hAnsi="Times New Roman" w:cs="Times New Roman"/>
          <w:sz w:val="24"/>
          <w:szCs w:val="24"/>
        </w:rPr>
      </w:pPr>
      <w:r w:rsidRPr="00662742">
        <w:rPr>
          <w:rFonts w:ascii="Times New Roman" w:hAnsi="Times New Roman" w:cs="Times New Roman"/>
          <w:sz w:val="24"/>
          <w:szCs w:val="24"/>
        </w:rPr>
        <w:t xml:space="preserve"> Date de publication :</w:t>
      </w:r>
      <w:r w:rsidR="00291E02">
        <w:rPr>
          <w:rFonts w:ascii="Times New Roman" w:hAnsi="Times New Roman" w:cs="Times New Roman"/>
          <w:sz w:val="24"/>
          <w:szCs w:val="24"/>
        </w:rPr>
        <w:t xml:space="preserve"> </w:t>
      </w:r>
      <w:r w:rsidR="00E51EE2">
        <w:rPr>
          <w:rFonts w:ascii="Times New Roman" w:hAnsi="Times New Roman" w:cs="Times New Roman"/>
          <w:sz w:val="24"/>
          <w:szCs w:val="24"/>
        </w:rPr>
        <w:t>28</w:t>
      </w:r>
      <w:r w:rsidR="004D1C45">
        <w:rPr>
          <w:rFonts w:ascii="Times New Roman" w:hAnsi="Times New Roman" w:cs="Times New Roman"/>
          <w:sz w:val="24"/>
          <w:szCs w:val="24"/>
        </w:rPr>
        <w:t>/0</w:t>
      </w:r>
      <w:r w:rsidR="00E51EE2">
        <w:rPr>
          <w:rFonts w:ascii="Times New Roman" w:hAnsi="Times New Roman" w:cs="Times New Roman"/>
          <w:sz w:val="24"/>
          <w:szCs w:val="24"/>
        </w:rPr>
        <w:t>5</w:t>
      </w:r>
      <w:r w:rsidR="0016110A">
        <w:rPr>
          <w:rFonts w:ascii="Times New Roman" w:hAnsi="Times New Roman" w:cs="Times New Roman"/>
          <w:sz w:val="24"/>
          <w:szCs w:val="24"/>
        </w:rPr>
        <w:t>/202</w:t>
      </w:r>
      <w:r w:rsidR="00E51EE2">
        <w:rPr>
          <w:rFonts w:ascii="Times New Roman" w:hAnsi="Times New Roman" w:cs="Times New Roman"/>
          <w:sz w:val="24"/>
          <w:szCs w:val="24"/>
        </w:rPr>
        <w:t>3</w:t>
      </w:r>
    </w:p>
    <w:p w14:paraId="6BA10BAE" w14:textId="77777777" w:rsidR="00132B72" w:rsidRPr="00132B72" w:rsidRDefault="00132B72" w:rsidP="00132B72"/>
    <w:p w14:paraId="1C4A08D3" w14:textId="77777777" w:rsidR="00132B72" w:rsidRPr="00132B72" w:rsidRDefault="00132B72" w:rsidP="00132B72"/>
    <w:p w14:paraId="5F414ECF" w14:textId="77777777" w:rsidR="00132B72" w:rsidRPr="00132B72" w:rsidRDefault="00132B72" w:rsidP="00132B72"/>
    <w:p w14:paraId="677931F7" w14:textId="77777777" w:rsidR="00132B72" w:rsidRPr="00132B72" w:rsidRDefault="00132B72" w:rsidP="00132B72"/>
    <w:p w14:paraId="2F7EB79C" w14:textId="77777777" w:rsidR="00132B72" w:rsidRPr="00132B72" w:rsidRDefault="00132B72" w:rsidP="00132B72"/>
    <w:p w14:paraId="2B569E36" w14:textId="77777777" w:rsidR="00132B72" w:rsidRDefault="00132B72" w:rsidP="00132B72"/>
    <w:p w14:paraId="35003C7C" w14:textId="5D94547A" w:rsidR="00E54C40" w:rsidRDefault="00E54C40" w:rsidP="00132B72"/>
    <w:p w14:paraId="1E79BF43" w14:textId="7AFED535" w:rsidR="00031F83" w:rsidRDefault="00031F83" w:rsidP="00132B72"/>
    <w:p w14:paraId="1D4647E5" w14:textId="2668C43B" w:rsidR="00BA263E" w:rsidRDefault="00BA263E" w:rsidP="00132B72"/>
    <w:p w14:paraId="1C3CCFB2" w14:textId="55860F24" w:rsidR="00BA263E" w:rsidRDefault="00BA263E" w:rsidP="00132B72"/>
    <w:p w14:paraId="12FFB837" w14:textId="77777777" w:rsidR="00BA263E" w:rsidRDefault="00BA263E" w:rsidP="00132B72"/>
    <w:p w14:paraId="059EC202" w14:textId="37EAC78D" w:rsidR="001D02EF" w:rsidRDefault="001D02EF" w:rsidP="001D02EF">
      <w:pPr>
        <w:pStyle w:val="Titre1"/>
        <w:jc w:val="center"/>
        <w:rPr>
          <w:rFonts w:ascii="Times New Roman" w:hAnsi="Times New Roman" w:cs="Times New Roman"/>
          <w:color w:val="9CC2E5" w:themeColor="accent1" w:themeTint="99"/>
        </w:rPr>
      </w:pPr>
      <w:bookmarkStart w:id="1" w:name="_Toc530553245"/>
      <w:bookmarkStart w:id="2" w:name="_Toc136004684"/>
      <w:r>
        <w:rPr>
          <w:rFonts w:ascii="Times New Roman" w:hAnsi="Times New Roman" w:cs="Times New Roman"/>
          <w:color w:val="9CC2E5" w:themeColor="accent1" w:themeTint="99"/>
        </w:rPr>
        <w:lastRenderedPageBreak/>
        <w:t>Sigles et abréviations</w:t>
      </w:r>
      <w:bookmarkEnd w:id="1"/>
      <w:bookmarkEnd w:id="2"/>
    </w:p>
    <w:p w14:paraId="44F642C4" w14:textId="77777777" w:rsidR="00DF0938" w:rsidRPr="00DF0938" w:rsidRDefault="00DF0938" w:rsidP="00DF0938">
      <w:pPr>
        <w:rPr>
          <w:lang w:eastAsia="fr-FR"/>
        </w:rPr>
      </w:pPr>
    </w:p>
    <w:p w14:paraId="36856B11" w14:textId="77777777" w:rsidR="001D02EF" w:rsidRDefault="001D02EF" w:rsidP="001D02EF">
      <w:pPr>
        <w:rPr>
          <w:rFonts w:ascii="Times New Roman" w:hAnsi="Times New Roman" w:cs="Times New Roman"/>
          <w:sz w:val="24"/>
          <w:szCs w:val="24"/>
          <w:lang w:eastAsia="fr-FR"/>
        </w:rPr>
      </w:pPr>
      <w:r w:rsidRPr="004019D6">
        <w:rPr>
          <w:rFonts w:ascii="Times New Roman" w:hAnsi="Times New Roman" w:cs="Times New Roman"/>
          <w:sz w:val="24"/>
          <w:szCs w:val="24"/>
          <w:lang w:eastAsia="fr-FR"/>
        </w:rPr>
        <w:t>AFRISTAT : Observatoire Economique et Statistique d’Afrique Subsaharienne</w:t>
      </w:r>
    </w:p>
    <w:p w14:paraId="376948B0" w14:textId="1A7C0BEE" w:rsidR="001D02EF" w:rsidRDefault="001D02EF" w:rsidP="001D02EF">
      <w:pPr>
        <w:rPr>
          <w:rFonts w:ascii="Times New Roman" w:hAnsi="Times New Roman" w:cs="Times New Roman"/>
          <w:sz w:val="24"/>
          <w:szCs w:val="24"/>
          <w:lang w:eastAsia="fr-FR"/>
        </w:rPr>
      </w:pPr>
      <w:r w:rsidRPr="004019D6">
        <w:rPr>
          <w:rFonts w:ascii="Times New Roman" w:hAnsi="Times New Roman" w:cs="Times New Roman"/>
          <w:sz w:val="24"/>
          <w:szCs w:val="24"/>
          <w:lang w:eastAsia="fr-FR"/>
        </w:rPr>
        <w:t>ICA : Indice du Chiffre d’Affaire</w:t>
      </w:r>
      <w:r w:rsidR="00CB7274">
        <w:rPr>
          <w:rFonts w:ascii="Times New Roman" w:hAnsi="Times New Roman" w:cs="Times New Roman"/>
          <w:sz w:val="24"/>
          <w:szCs w:val="24"/>
          <w:lang w:eastAsia="fr-FR"/>
        </w:rPr>
        <w:t>s</w:t>
      </w:r>
    </w:p>
    <w:p w14:paraId="5D1655C9" w14:textId="23E25D63" w:rsidR="001D02EF" w:rsidRDefault="001D02EF" w:rsidP="001D02EF">
      <w:pPr>
        <w:rPr>
          <w:rFonts w:ascii="Times New Roman" w:hAnsi="Times New Roman" w:cs="Times New Roman"/>
          <w:sz w:val="24"/>
          <w:szCs w:val="24"/>
          <w:lang w:eastAsia="fr-FR"/>
        </w:rPr>
      </w:pPr>
      <w:r>
        <w:rPr>
          <w:rFonts w:ascii="Times New Roman" w:hAnsi="Times New Roman" w:cs="Times New Roman"/>
          <w:sz w:val="24"/>
          <w:szCs w:val="24"/>
          <w:lang w:eastAsia="fr-FR"/>
        </w:rPr>
        <w:t>ICAB : Indice du Chiffre d’Affaire</w:t>
      </w:r>
      <w:r w:rsidR="00CB7274">
        <w:rPr>
          <w:rFonts w:ascii="Times New Roman" w:hAnsi="Times New Roman" w:cs="Times New Roman"/>
          <w:sz w:val="24"/>
          <w:szCs w:val="24"/>
          <w:lang w:eastAsia="fr-FR"/>
        </w:rPr>
        <w:t>s</w:t>
      </w:r>
      <w:r>
        <w:rPr>
          <w:rFonts w:ascii="Times New Roman" w:hAnsi="Times New Roman" w:cs="Times New Roman"/>
          <w:sz w:val="24"/>
          <w:szCs w:val="24"/>
          <w:lang w:eastAsia="fr-FR"/>
        </w:rPr>
        <w:t xml:space="preserve"> du Burundi</w:t>
      </w:r>
    </w:p>
    <w:p w14:paraId="3CE5F5A8" w14:textId="77777777" w:rsidR="001D02EF" w:rsidRDefault="001D02EF" w:rsidP="001D02EF">
      <w:pPr>
        <w:rPr>
          <w:rFonts w:ascii="Times New Roman" w:hAnsi="Times New Roman" w:cs="Times New Roman"/>
          <w:sz w:val="24"/>
          <w:szCs w:val="24"/>
          <w:lang w:eastAsia="fr-FR"/>
        </w:rPr>
      </w:pPr>
      <w:r>
        <w:rPr>
          <w:rFonts w:ascii="Times New Roman" w:hAnsi="Times New Roman" w:cs="Times New Roman"/>
          <w:sz w:val="24"/>
          <w:szCs w:val="24"/>
          <w:lang w:eastAsia="fr-FR"/>
        </w:rPr>
        <w:t>IHPI : Indice Harmonisé à la Production Industrielle</w:t>
      </w:r>
    </w:p>
    <w:p w14:paraId="5D0E0E9D" w14:textId="77777777" w:rsidR="001D02EF" w:rsidRPr="004019D6" w:rsidRDefault="001D02EF" w:rsidP="001D02EF">
      <w:pPr>
        <w:rPr>
          <w:rFonts w:ascii="Times New Roman" w:hAnsi="Times New Roman" w:cs="Times New Roman"/>
          <w:sz w:val="24"/>
          <w:szCs w:val="24"/>
          <w:lang w:eastAsia="fr-FR"/>
        </w:rPr>
      </w:pPr>
      <w:r>
        <w:rPr>
          <w:rFonts w:ascii="Times New Roman" w:hAnsi="Times New Roman" w:cs="Times New Roman"/>
          <w:sz w:val="24"/>
          <w:szCs w:val="24"/>
          <w:lang w:eastAsia="fr-FR"/>
        </w:rPr>
        <w:t>INS : Institut National de la Statistique</w:t>
      </w:r>
    </w:p>
    <w:p w14:paraId="7F537C0A" w14:textId="77777777" w:rsidR="001D02EF" w:rsidRDefault="001D02EF" w:rsidP="001D02EF">
      <w:pPr>
        <w:rPr>
          <w:rFonts w:ascii="Times New Roman" w:hAnsi="Times New Roman" w:cs="Times New Roman"/>
          <w:sz w:val="24"/>
          <w:szCs w:val="24"/>
          <w:lang w:eastAsia="fr-FR"/>
        </w:rPr>
      </w:pPr>
      <w:r>
        <w:rPr>
          <w:rFonts w:ascii="Times New Roman" w:hAnsi="Times New Roman" w:cs="Times New Roman"/>
          <w:sz w:val="24"/>
          <w:szCs w:val="24"/>
          <w:lang w:eastAsia="fr-FR"/>
        </w:rPr>
        <w:t>IPC : Indice du Prix à la Consommation</w:t>
      </w:r>
    </w:p>
    <w:p w14:paraId="40CA9820" w14:textId="77777777" w:rsidR="001D02EF" w:rsidRDefault="001D02EF" w:rsidP="001D02EF">
      <w:pPr>
        <w:rPr>
          <w:rFonts w:ascii="Times New Roman" w:hAnsi="Times New Roman" w:cs="Times New Roman"/>
          <w:sz w:val="24"/>
          <w:szCs w:val="24"/>
          <w:lang w:eastAsia="fr-FR"/>
        </w:rPr>
      </w:pPr>
      <w:r>
        <w:rPr>
          <w:rFonts w:ascii="Times New Roman" w:hAnsi="Times New Roman" w:cs="Times New Roman"/>
          <w:sz w:val="24"/>
          <w:szCs w:val="24"/>
          <w:lang w:eastAsia="fr-FR"/>
        </w:rPr>
        <w:t>IPI : Indice à la Production Industrielle</w:t>
      </w:r>
    </w:p>
    <w:p w14:paraId="373ACD48" w14:textId="77777777" w:rsidR="001D02EF" w:rsidRDefault="001D02EF" w:rsidP="001D02EF">
      <w:pPr>
        <w:rPr>
          <w:rFonts w:ascii="Times New Roman" w:hAnsi="Times New Roman" w:cs="Times New Roman"/>
          <w:sz w:val="24"/>
          <w:szCs w:val="24"/>
          <w:lang w:eastAsia="fr-FR"/>
        </w:rPr>
      </w:pPr>
      <w:r>
        <w:rPr>
          <w:rFonts w:ascii="Times New Roman" w:hAnsi="Times New Roman" w:cs="Times New Roman"/>
          <w:sz w:val="24"/>
          <w:szCs w:val="24"/>
          <w:lang w:eastAsia="fr-FR"/>
        </w:rPr>
        <w:t>IPP : Indice du Prix à la production</w:t>
      </w:r>
    </w:p>
    <w:p w14:paraId="65E20BD6" w14:textId="77777777" w:rsidR="001D02EF" w:rsidRDefault="001D02EF" w:rsidP="001D02EF">
      <w:pPr>
        <w:rPr>
          <w:rFonts w:ascii="Times New Roman" w:hAnsi="Times New Roman" w:cs="Times New Roman"/>
          <w:sz w:val="24"/>
          <w:szCs w:val="24"/>
          <w:lang w:eastAsia="fr-FR"/>
        </w:rPr>
      </w:pPr>
      <w:r>
        <w:rPr>
          <w:rFonts w:ascii="Times New Roman" w:hAnsi="Times New Roman" w:cs="Times New Roman"/>
          <w:sz w:val="24"/>
          <w:szCs w:val="24"/>
          <w:lang w:eastAsia="fr-FR"/>
        </w:rPr>
        <w:t>IPPI : Indice du Prix à la Production Industrielle</w:t>
      </w:r>
    </w:p>
    <w:p w14:paraId="2BECF1ED" w14:textId="0140D651" w:rsidR="001D02EF" w:rsidRDefault="001D02EF" w:rsidP="001D02EF">
      <w:pPr>
        <w:rPr>
          <w:rFonts w:ascii="Times New Roman" w:hAnsi="Times New Roman" w:cs="Times New Roman"/>
          <w:sz w:val="24"/>
          <w:szCs w:val="24"/>
          <w:lang w:eastAsia="fr-FR"/>
        </w:rPr>
      </w:pPr>
      <w:r w:rsidRPr="004019D6">
        <w:rPr>
          <w:rFonts w:ascii="Times New Roman" w:hAnsi="Times New Roman" w:cs="Times New Roman"/>
          <w:sz w:val="24"/>
          <w:szCs w:val="24"/>
          <w:lang w:eastAsia="fr-FR"/>
        </w:rPr>
        <w:t>I</w:t>
      </w:r>
      <w:r w:rsidR="00C3587C">
        <w:rPr>
          <w:rFonts w:ascii="Times New Roman" w:hAnsi="Times New Roman" w:cs="Times New Roman"/>
          <w:sz w:val="24"/>
          <w:szCs w:val="24"/>
          <w:lang w:eastAsia="fr-FR"/>
        </w:rPr>
        <w:t>N</w:t>
      </w:r>
      <w:r w:rsidRPr="004019D6">
        <w:rPr>
          <w:rFonts w:ascii="Times New Roman" w:hAnsi="Times New Roman" w:cs="Times New Roman"/>
          <w:sz w:val="24"/>
          <w:szCs w:val="24"/>
          <w:lang w:eastAsia="fr-FR"/>
        </w:rPr>
        <w:t xml:space="preserve">SBU : Institut </w:t>
      </w:r>
      <w:r w:rsidR="00C3587C">
        <w:rPr>
          <w:rFonts w:ascii="Times New Roman" w:hAnsi="Times New Roman" w:cs="Times New Roman"/>
          <w:sz w:val="24"/>
          <w:szCs w:val="24"/>
          <w:lang w:eastAsia="fr-FR"/>
        </w:rPr>
        <w:t xml:space="preserve">National </w:t>
      </w:r>
      <w:r w:rsidR="007166E4">
        <w:rPr>
          <w:rFonts w:ascii="Times New Roman" w:hAnsi="Times New Roman" w:cs="Times New Roman"/>
          <w:sz w:val="24"/>
          <w:szCs w:val="24"/>
          <w:lang w:eastAsia="fr-FR"/>
        </w:rPr>
        <w:t>de</w:t>
      </w:r>
      <w:r w:rsidR="00C3587C">
        <w:rPr>
          <w:rFonts w:ascii="Times New Roman" w:hAnsi="Times New Roman" w:cs="Times New Roman"/>
          <w:sz w:val="24"/>
          <w:szCs w:val="24"/>
          <w:lang w:eastAsia="fr-FR"/>
        </w:rPr>
        <w:t xml:space="preserve"> </w:t>
      </w:r>
      <w:r w:rsidR="00DF0938">
        <w:rPr>
          <w:rFonts w:ascii="Times New Roman" w:hAnsi="Times New Roman" w:cs="Times New Roman"/>
          <w:sz w:val="24"/>
          <w:szCs w:val="24"/>
          <w:lang w:eastAsia="fr-FR"/>
        </w:rPr>
        <w:t>la Statistique</w:t>
      </w:r>
      <w:r w:rsidRPr="004019D6">
        <w:rPr>
          <w:rFonts w:ascii="Times New Roman" w:hAnsi="Times New Roman" w:cs="Times New Roman"/>
          <w:sz w:val="24"/>
          <w:szCs w:val="24"/>
          <w:lang w:eastAsia="fr-FR"/>
        </w:rPr>
        <w:t xml:space="preserve"> </w:t>
      </w:r>
      <w:r w:rsidR="00C3587C">
        <w:rPr>
          <w:rFonts w:ascii="Times New Roman" w:hAnsi="Times New Roman" w:cs="Times New Roman"/>
          <w:sz w:val="24"/>
          <w:szCs w:val="24"/>
          <w:lang w:eastAsia="fr-FR"/>
        </w:rPr>
        <w:t>Burundi</w:t>
      </w:r>
    </w:p>
    <w:p w14:paraId="3C09DB21" w14:textId="77777777" w:rsidR="00E54C40" w:rsidRDefault="00E54C40" w:rsidP="00132B72"/>
    <w:p w14:paraId="61284625" w14:textId="77777777" w:rsidR="001D02EF" w:rsidRDefault="001D02EF" w:rsidP="00132B72"/>
    <w:p w14:paraId="6117EC61" w14:textId="77777777" w:rsidR="001D02EF" w:rsidRDefault="001D02EF" w:rsidP="00132B72"/>
    <w:p w14:paraId="6DD43780" w14:textId="77777777" w:rsidR="001D02EF" w:rsidRDefault="001D02EF" w:rsidP="00132B72"/>
    <w:p w14:paraId="016229C8" w14:textId="77777777" w:rsidR="001D02EF" w:rsidRDefault="001D02EF" w:rsidP="00132B72"/>
    <w:p w14:paraId="2DE98FEF" w14:textId="77777777" w:rsidR="001D02EF" w:rsidRDefault="001D02EF" w:rsidP="00132B72"/>
    <w:p w14:paraId="74439917" w14:textId="77777777" w:rsidR="001D02EF" w:rsidRDefault="001D02EF" w:rsidP="00132B72"/>
    <w:p w14:paraId="605507D2" w14:textId="77777777" w:rsidR="001D02EF" w:rsidRDefault="001D02EF" w:rsidP="00132B72"/>
    <w:p w14:paraId="3919DA48" w14:textId="77777777" w:rsidR="001D02EF" w:rsidRDefault="001D02EF" w:rsidP="00132B72"/>
    <w:p w14:paraId="2FD7D193" w14:textId="77777777" w:rsidR="001D02EF" w:rsidRDefault="001D02EF" w:rsidP="00132B72"/>
    <w:p w14:paraId="058FD0F1" w14:textId="77777777" w:rsidR="001D02EF" w:rsidRDefault="001D02EF" w:rsidP="00132B72"/>
    <w:p w14:paraId="794F6D89" w14:textId="77777777" w:rsidR="001D02EF" w:rsidRDefault="001D02EF" w:rsidP="00132B72"/>
    <w:p w14:paraId="772A259D" w14:textId="77777777" w:rsidR="004D1CFB" w:rsidRDefault="004D1CFB" w:rsidP="00132B72"/>
    <w:p w14:paraId="26F1FA30" w14:textId="77777777" w:rsidR="001D02EF" w:rsidRDefault="001D02EF" w:rsidP="00132B72"/>
    <w:p w14:paraId="2C17CA8C" w14:textId="77777777" w:rsidR="001D02EF" w:rsidRDefault="001D02EF" w:rsidP="00132B72"/>
    <w:sdt>
      <w:sdtPr>
        <w:rPr>
          <w:rFonts w:asciiTheme="minorHAnsi" w:eastAsiaTheme="minorHAnsi" w:hAnsiTheme="minorHAnsi" w:cstheme="minorBidi"/>
          <w:color w:val="auto"/>
          <w:sz w:val="22"/>
          <w:szCs w:val="22"/>
          <w:lang w:val="fr-FR"/>
        </w:rPr>
        <w:id w:val="2006469321"/>
        <w:docPartObj>
          <w:docPartGallery w:val="Table of Contents"/>
          <w:docPartUnique/>
        </w:docPartObj>
      </w:sdtPr>
      <w:sdtEndPr>
        <w:rPr>
          <w:b/>
          <w:bCs/>
          <w:noProof/>
        </w:rPr>
      </w:sdtEndPr>
      <w:sdtContent>
        <w:p w14:paraId="5D244BF4" w14:textId="77777777" w:rsidR="00892EE1" w:rsidRPr="00892EE1" w:rsidRDefault="00892EE1">
          <w:pPr>
            <w:pStyle w:val="En-ttedetabledesmatires"/>
            <w:rPr>
              <w:rFonts w:ascii="Times New Roman" w:hAnsi="Times New Roman" w:cs="Times New Roman"/>
              <w:sz w:val="36"/>
              <w:szCs w:val="36"/>
            </w:rPr>
          </w:pPr>
          <w:r w:rsidRPr="00892EE1">
            <w:rPr>
              <w:rFonts w:ascii="Times New Roman" w:hAnsi="Times New Roman" w:cs="Times New Roman"/>
              <w:sz w:val="36"/>
              <w:szCs w:val="36"/>
            </w:rPr>
            <w:t>Table des matières</w:t>
          </w:r>
        </w:p>
        <w:p w14:paraId="43701CE2" w14:textId="7BAD6FF4" w:rsidR="00124D1A" w:rsidRDefault="00892EE1">
          <w:pPr>
            <w:pStyle w:val="TM1"/>
            <w:rPr>
              <w:rFonts w:eastAsiaTheme="minorEastAsia"/>
              <w:noProof/>
              <w:lang w:eastAsia="fr-FR"/>
            </w:rPr>
          </w:pPr>
          <w:r>
            <w:rPr>
              <w:b/>
              <w:bCs/>
              <w:noProof/>
            </w:rPr>
            <w:fldChar w:fldCharType="begin"/>
          </w:r>
          <w:r>
            <w:rPr>
              <w:b/>
              <w:bCs/>
              <w:noProof/>
            </w:rPr>
            <w:instrText xml:space="preserve"> TOC \o "1-3" \h \z \u </w:instrText>
          </w:r>
          <w:r>
            <w:rPr>
              <w:b/>
              <w:bCs/>
              <w:noProof/>
            </w:rPr>
            <w:fldChar w:fldCharType="separate"/>
          </w:r>
          <w:hyperlink w:anchor="_Toc136004684" w:history="1">
            <w:r w:rsidR="00124D1A" w:rsidRPr="0066509F">
              <w:rPr>
                <w:rStyle w:val="Lienhypertexte"/>
                <w:rFonts w:ascii="Times New Roman" w:hAnsi="Times New Roman" w:cs="Times New Roman"/>
                <w:noProof/>
              </w:rPr>
              <w:t>Sigles et abréviations</w:t>
            </w:r>
            <w:r w:rsidR="00124D1A">
              <w:rPr>
                <w:noProof/>
                <w:webHidden/>
              </w:rPr>
              <w:tab/>
            </w:r>
            <w:r w:rsidR="00124D1A">
              <w:rPr>
                <w:noProof/>
                <w:webHidden/>
              </w:rPr>
              <w:fldChar w:fldCharType="begin"/>
            </w:r>
            <w:r w:rsidR="00124D1A">
              <w:rPr>
                <w:noProof/>
                <w:webHidden/>
              </w:rPr>
              <w:instrText xml:space="preserve"> PAGEREF _Toc136004684 \h </w:instrText>
            </w:r>
            <w:r w:rsidR="00124D1A">
              <w:rPr>
                <w:noProof/>
                <w:webHidden/>
              </w:rPr>
            </w:r>
            <w:r w:rsidR="00124D1A">
              <w:rPr>
                <w:noProof/>
                <w:webHidden/>
              </w:rPr>
              <w:fldChar w:fldCharType="separate"/>
            </w:r>
            <w:r w:rsidR="00124D1A">
              <w:rPr>
                <w:noProof/>
                <w:webHidden/>
              </w:rPr>
              <w:t>3</w:t>
            </w:r>
            <w:r w:rsidR="00124D1A">
              <w:rPr>
                <w:noProof/>
                <w:webHidden/>
              </w:rPr>
              <w:fldChar w:fldCharType="end"/>
            </w:r>
          </w:hyperlink>
        </w:p>
        <w:p w14:paraId="3F10E849" w14:textId="60F60904" w:rsidR="00124D1A" w:rsidRDefault="0066284F">
          <w:pPr>
            <w:pStyle w:val="TM1"/>
            <w:rPr>
              <w:rFonts w:eastAsiaTheme="minorEastAsia"/>
              <w:noProof/>
              <w:lang w:eastAsia="fr-FR"/>
            </w:rPr>
          </w:pPr>
          <w:hyperlink w:anchor="_Toc136004685" w:history="1">
            <w:r w:rsidR="00124D1A" w:rsidRPr="0066509F">
              <w:rPr>
                <w:rStyle w:val="Lienhypertexte"/>
                <w:rFonts w:ascii="Times New Roman" w:eastAsiaTheme="majorEastAsia" w:hAnsi="Times New Roman" w:cs="Times New Roman"/>
                <w:b/>
                <w:bCs/>
                <w:noProof/>
                <w:kern w:val="32"/>
                <w:lang w:eastAsia="fr-FR"/>
              </w:rPr>
              <w:t>I.     Introduction</w:t>
            </w:r>
            <w:r w:rsidR="00124D1A">
              <w:rPr>
                <w:noProof/>
                <w:webHidden/>
              </w:rPr>
              <w:tab/>
            </w:r>
            <w:r w:rsidR="00124D1A">
              <w:rPr>
                <w:noProof/>
                <w:webHidden/>
              </w:rPr>
              <w:fldChar w:fldCharType="begin"/>
            </w:r>
            <w:r w:rsidR="00124D1A">
              <w:rPr>
                <w:noProof/>
                <w:webHidden/>
              </w:rPr>
              <w:instrText xml:space="preserve"> PAGEREF _Toc136004685 \h </w:instrText>
            </w:r>
            <w:r w:rsidR="00124D1A">
              <w:rPr>
                <w:noProof/>
                <w:webHidden/>
              </w:rPr>
            </w:r>
            <w:r w:rsidR="00124D1A">
              <w:rPr>
                <w:noProof/>
                <w:webHidden/>
              </w:rPr>
              <w:fldChar w:fldCharType="separate"/>
            </w:r>
            <w:r w:rsidR="00124D1A">
              <w:rPr>
                <w:noProof/>
                <w:webHidden/>
              </w:rPr>
              <w:t>5</w:t>
            </w:r>
            <w:r w:rsidR="00124D1A">
              <w:rPr>
                <w:noProof/>
                <w:webHidden/>
              </w:rPr>
              <w:fldChar w:fldCharType="end"/>
            </w:r>
          </w:hyperlink>
        </w:p>
        <w:p w14:paraId="06AC1EBA" w14:textId="27E0C013" w:rsidR="00124D1A" w:rsidRDefault="0066284F">
          <w:pPr>
            <w:pStyle w:val="TM2"/>
            <w:rPr>
              <w:rFonts w:eastAsiaTheme="minorEastAsia"/>
              <w:noProof/>
              <w:lang w:eastAsia="fr-FR"/>
            </w:rPr>
          </w:pPr>
          <w:hyperlink w:anchor="_Toc136004686" w:history="1">
            <w:r w:rsidR="00124D1A" w:rsidRPr="0066509F">
              <w:rPr>
                <w:rStyle w:val="Lienhypertexte"/>
                <w:rFonts w:asciiTheme="majorHAnsi" w:eastAsiaTheme="majorEastAsia" w:hAnsiTheme="majorHAnsi" w:cstheme="majorBidi"/>
                <w:noProof/>
              </w:rPr>
              <w:t>I.1. Bref aperçu historique de l’indice du chiffre d’affaires</w:t>
            </w:r>
            <w:r w:rsidR="00124D1A">
              <w:rPr>
                <w:noProof/>
                <w:webHidden/>
              </w:rPr>
              <w:tab/>
            </w:r>
            <w:r w:rsidR="00124D1A">
              <w:rPr>
                <w:noProof/>
                <w:webHidden/>
              </w:rPr>
              <w:fldChar w:fldCharType="begin"/>
            </w:r>
            <w:r w:rsidR="00124D1A">
              <w:rPr>
                <w:noProof/>
                <w:webHidden/>
              </w:rPr>
              <w:instrText xml:space="preserve"> PAGEREF _Toc136004686 \h </w:instrText>
            </w:r>
            <w:r w:rsidR="00124D1A">
              <w:rPr>
                <w:noProof/>
                <w:webHidden/>
              </w:rPr>
            </w:r>
            <w:r w:rsidR="00124D1A">
              <w:rPr>
                <w:noProof/>
                <w:webHidden/>
              </w:rPr>
              <w:fldChar w:fldCharType="separate"/>
            </w:r>
            <w:r w:rsidR="00124D1A">
              <w:rPr>
                <w:noProof/>
                <w:webHidden/>
              </w:rPr>
              <w:t>5</w:t>
            </w:r>
            <w:r w:rsidR="00124D1A">
              <w:rPr>
                <w:noProof/>
                <w:webHidden/>
              </w:rPr>
              <w:fldChar w:fldCharType="end"/>
            </w:r>
          </w:hyperlink>
        </w:p>
        <w:p w14:paraId="14236FC2" w14:textId="38BD17C7" w:rsidR="00124D1A" w:rsidRDefault="0066284F">
          <w:pPr>
            <w:pStyle w:val="TM2"/>
            <w:rPr>
              <w:rFonts w:eastAsiaTheme="minorEastAsia"/>
              <w:noProof/>
              <w:lang w:eastAsia="fr-FR"/>
            </w:rPr>
          </w:pPr>
          <w:hyperlink w:anchor="_Toc136004687" w:history="1">
            <w:r w:rsidR="00124D1A" w:rsidRPr="0066509F">
              <w:rPr>
                <w:rStyle w:val="Lienhypertexte"/>
                <w:rFonts w:asciiTheme="majorHAnsi" w:eastAsiaTheme="majorEastAsia" w:hAnsiTheme="majorHAnsi" w:cstheme="majorBidi"/>
                <w:noProof/>
              </w:rPr>
              <w:t>I.2. Définition et champ de l’indice du chiffre d’affaires</w:t>
            </w:r>
            <w:r w:rsidR="00124D1A">
              <w:rPr>
                <w:noProof/>
                <w:webHidden/>
              </w:rPr>
              <w:tab/>
            </w:r>
            <w:r w:rsidR="00124D1A">
              <w:rPr>
                <w:noProof/>
                <w:webHidden/>
              </w:rPr>
              <w:fldChar w:fldCharType="begin"/>
            </w:r>
            <w:r w:rsidR="00124D1A">
              <w:rPr>
                <w:noProof/>
                <w:webHidden/>
              </w:rPr>
              <w:instrText xml:space="preserve"> PAGEREF _Toc136004687 \h </w:instrText>
            </w:r>
            <w:r w:rsidR="00124D1A">
              <w:rPr>
                <w:noProof/>
                <w:webHidden/>
              </w:rPr>
            </w:r>
            <w:r w:rsidR="00124D1A">
              <w:rPr>
                <w:noProof/>
                <w:webHidden/>
              </w:rPr>
              <w:fldChar w:fldCharType="separate"/>
            </w:r>
            <w:r w:rsidR="00124D1A">
              <w:rPr>
                <w:noProof/>
                <w:webHidden/>
              </w:rPr>
              <w:t>6</w:t>
            </w:r>
            <w:r w:rsidR="00124D1A">
              <w:rPr>
                <w:noProof/>
                <w:webHidden/>
              </w:rPr>
              <w:fldChar w:fldCharType="end"/>
            </w:r>
          </w:hyperlink>
        </w:p>
        <w:p w14:paraId="2E832312" w14:textId="7C2659CC" w:rsidR="00124D1A" w:rsidRDefault="0066284F">
          <w:pPr>
            <w:pStyle w:val="TM2"/>
            <w:rPr>
              <w:rFonts w:eastAsiaTheme="minorEastAsia"/>
              <w:noProof/>
              <w:lang w:eastAsia="fr-FR"/>
            </w:rPr>
          </w:pPr>
          <w:hyperlink w:anchor="_Toc136004688" w:history="1">
            <w:r w:rsidR="00124D1A" w:rsidRPr="0066509F">
              <w:rPr>
                <w:rStyle w:val="Lienhypertexte"/>
                <w:rFonts w:asciiTheme="majorHAnsi" w:eastAsiaTheme="majorEastAsia" w:hAnsiTheme="majorHAnsi" w:cstheme="majorBidi"/>
                <w:noProof/>
              </w:rPr>
              <w:t>I.3. Champ de l’ICA</w:t>
            </w:r>
            <w:r w:rsidR="00124D1A">
              <w:rPr>
                <w:noProof/>
                <w:webHidden/>
              </w:rPr>
              <w:tab/>
            </w:r>
            <w:r w:rsidR="00124D1A">
              <w:rPr>
                <w:noProof/>
                <w:webHidden/>
              </w:rPr>
              <w:fldChar w:fldCharType="begin"/>
            </w:r>
            <w:r w:rsidR="00124D1A">
              <w:rPr>
                <w:noProof/>
                <w:webHidden/>
              </w:rPr>
              <w:instrText xml:space="preserve"> PAGEREF _Toc136004688 \h </w:instrText>
            </w:r>
            <w:r w:rsidR="00124D1A">
              <w:rPr>
                <w:noProof/>
                <w:webHidden/>
              </w:rPr>
            </w:r>
            <w:r w:rsidR="00124D1A">
              <w:rPr>
                <w:noProof/>
                <w:webHidden/>
              </w:rPr>
              <w:fldChar w:fldCharType="separate"/>
            </w:r>
            <w:r w:rsidR="00124D1A">
              <w:rPr>
                <w:noProof/>
                <w:webHidden/>
              </w:rPr>
              <w:t>7</w:t>
            </w:r>
            <w:r w:rsidR="00124D1A">
              <w:rPr>
                <w:noProof/>
                <w:webHidden/>
              </w:rPr>
              <w:fldChar w:fldCharType="end"/>
            </w:r>
          </w:hyperlink>
        </w:p>
        <w:p w14:paraId="77E528DA" w14:textId="5C28DAD3" w:rsidR="00124D1A" w:rsidRDefault="0066284F">
          <w:pPr>
            <w:pStyle w:val="TM2"/>
            <w:rPr>
              <w:rFonts w:eastAsiaTheme="minorEastAsia"/>
              <w:noProof/>
              <w:lang w:eastAsia="fr-FR"/>
            </w:rPr>
          </w:pPr>
          <w:hyperlink w:anchor="_Toc136004689" w:history="1">
            <w:r w:rsidR="00124D1A" w:rsidRPr="0066509F">
              <w:rPr>
                <w:rStyle w:val="Lienhypertexte"/>
                <w:rFonts w:asciiTheme="majorHAnsi" w:eastAsiaTheme="majorEastAsia" w:hAnsiTheme="majorHAnsi" w:cstheme="majorBidi"/>
                <w:noProof/>
              </w:rPr>
              <w:t>I.4. Principales utilisations de l’ICA</w:t>
            </w:r>
            <w:r w:rsidR="00124D1A">
              <w:rPr>
                <w:noProof/>
                <w:webHidden/>
              </w:rPr>
              <w:tab/>
            </w:r>
            <w:r w:rsidR="00124D1A">
              <w:rPr>
                <w:noProof/>
                <w:webHidden/>
              </w:rPr>
              <w:fldChar w:fldCharType="begin"/>
            </w:r>
            <w:r w:rsidR="00124D1A">
              <w:rPr>
                <w:noProof/>
                <w:webHidden/>
              </w:rPr>
              <w:instrText xml:space="preserve"> PAGEREF _Toc136004689 \h </w:instrText>
            </w:r>
            <w:r w:rsidR="00124D1A">
              <w:rPr>
                <w:noProof/>
                <w:webHidden/>
              </w:rPr>
            </w:r>
            <w:r w:rsidR="00124D1A">
              <w:rPr>
                <w:noProof/>
                <w:webHidden/>
              </w:rPr>
              <w:fldChar w:fldCharType="separate"/>
            </w:r>
            <w:r w:rsidR="00124D1A">
              <w:rPr>
                <w:noProof/>
                <w:webHidden/>
              </w:rPr>
              <w:t>8</w:t>
            </w:r>
            <w:r w:rsidR="00124D1A">
              <w:rPr>
                <w:noProof/>
                <w:webHidden/>
              </w:rPr>
              <w:fldChar w:fldCharType="end"/>
            </w:r>
          </w:hyperlink>
        </w:p>
        <w:p w14:paraId="2D5D1FB1" w14:textId="7D1D114E" w:rsidR="00124D1A" w:rsidRDefault="0066284F">
          <w:pPr>
            <w:pStyle w:val="TM1"/>
            <w:rPr>
              <w:rFonts w:eastAsiaTheme="minorEastAsia"/>
              <w:noProof/>
              <w:lang w:eastAsia="fr-FR"/>
            </w:rPr>
          </w:pPr>
          <w:hyperlink w:anchor="_Toc136004690" w:history="1">
            <w:r w:rsidR="00124D1A" w:rsidRPr="0066509F">
              <w:rPr>
                <w:rStyle w:val="Lienhypertexte"/>
                <w:rFonts w:ascii="Times New Roman" w:eastAsiaTheme="majorEastAsia" w:hAnsi="Times New Roman" w:cs="Times New Roman"/>
                <w:b/>
                <w:bCs/>
                <w:noProof/>
                <w:kern w:val="32"/>
                <w:lang w:eastAsia="fr-FR"/>
              </w:rPr>
              <w:t>II Analyse de l’évolution du volume d’activité dans le secteur « Commerce »</w:t>
            </w:r>
            <w:r w:rsidR="00124D1A">
              <w:rPr>
                <w:noProof/>
                <w:webHidden/>
              </w:rPr>
              <w:tab/>
            </w:r>
            <w:r w:rsidR="00124D1A">
              <w:rPr>
                <w:noProof/>
                <w:webHidden/>
              </w:rPr>
              <w:fldChar w:fldCharType="begin"/>
            </w:r>
            <w:r w:rsidR="00124D1A">
              <w:rPr>
                <w:noProof/>
                <w:webHidden/>
              </w:rPr>
              <w:instrText xml:space="preserve"> PAGEREF _Toc136004690 \h </w:instrText>
            </w:r>
            <w:r w:rsidR="00124D1A">
              <w:rPr>
                <w:noProof/>
                <w:webHidden/>
              </w:rPr>
            </w:r>
            <w:r w:rsidR="00124D1A">
              <w:rPr>
                <w:noProof/>
                <w:webHidden/>
              </w:rPr>
              <w:fldChar w:fldCharType="separate"/>
            </w:r>
            <w:r w:rsidR="00124D1A">
              <w:rPr>
                <w:noProof/>
                <w:webHidden/>
              </w:rPr>
              <w:t>8</w:t>
            </w:r>
            <w:r w:rsidR="00124D1A">
              <w:rPr>
                <w:noProof/>
                <w:webHidden/>
              </w:rPr>
              <w:fldChar w:fldCharType="end"/>
            </w:r>
          </w:hyperlink>
        </w:p>
        <w:p w14:paraId="6895A3BD" w14:textId="33B70E85" w:rsidR="00124D1A" w:rsidRDefault="0066284F">
          <w:pPr>
            <w:pStyle w:val="TM2"/>
            <w:rPr>
              <w:rFonts w:eastAsiaTheme="minorEastAsia"/>
              <w:noProof/>
              <w:lang w:eastAsia="fr-FR"/>
            </w:rPr>
          </w:pPr>
          <w:hyperlink w:anchor="_Toc136004691" w:history="1">
            <w:r w:rsidR="00124D1A" w:rsidRPr="0066509F">
              <w:rPr>
                <w:rStyle w:val="Lienhypertexte"/>
                <w:rFonts w:ascii="Times New Roman" w:eastAsiaTheme="majorEastAsia" w:hAnsi="Times New Roman" w:cs="Times New Roman"/>
                <w:noProof/>
                <w:lang w:eastAsia="fr-FR"/>
              </w:rPr>
              <w:t>II.1. Analyse globale de l’évolution du volume d’activité dans le secteur du commerce</w:t>
            </w:r>
            <w:r w:rsidR="00124D1A">
              <w:rPr>
                <w:noProof/>
                <w:webHidden/>
              </w:rPr>
              <w:tab/>
            </w:r>
            <w:r w:rsidR="00124D1A">
              <w:rPr>
                <w:noProof/>
                <w:webHidden/>
              </w:rPr>
              <w:fldChar w:fldCharType="begin"/>
            </w:r>
            <w:r w:rsidR="00124D1A">
              <w:rPr>
                <w:noProof/>
                <w:webHidden/>
              </w:rPr>
              <w:instrText xml:space="preserve"> PAGEREF _Toc136004691 \h </w:instrText>
            </w:r>
            <w:r w:rsidR="00124D1A">
              <w:rPr>
                <w:noProof/>
                <w:webHidden/>
              </w:rPr>
            </w:r>
            <w:r w:rsidR="00124D1A">
              <w:rPr>
                <w:noProof/>
                <w:webHidden/>
              </w:rPr>
              <w:fldChar w:fldCharType="separate"/>
            </w:r>
            <w:r w:rsidR="00124D1A">
              <w:rPr>
                <w:noProof/>
                <w:webHidden/>
              </w:rPr>
              <w:t>8</w:t>
            </w:r>
            <w:r w:rsidR="00124D1A">
              <w:rPr>
                <w:noProof/>
                <w:webHidden/>
              </w:rPr>
              <w:fldChar w:fldCharType="end"/>
            </w:r>
          </w:hyperlink>
        </w:p>
        <w:p w14:paraId="4FB76CB7" w14:textId="19AEEA00" w:rsidR="00124D1A" w:rsidRDefault="0066284F">
          <w:pPr>
            <w:pStyle w:val="TM2"/>
            <w:rPr>
              <w:rFonts w:eastAsiaTheme="minorEastAsia"/>
              <w:noProof/>
              <w:lang w:eastAsia="fr-FR"/>
            </w:rPr>
          </w:pPr>
          <w:hyperlink w:anchor="_Toc136004692" w:history="1">
            <w:r w:rsidR="00124D1A" w:rsidRPr="0066509F">
              <w:rPr>
                <w:rStyle w:val="Lienhypertexte"/>
                <w:rFonts w:ascii="Times New Roman" w:eastAsiaTheme="majorEastAsia" w:hAnsi="Times New Roman" w:cs="Times New Roman"/>
                <w:noProof/>
                <w:lang w:eastAsia="fr-FR"/>
              </w:rPr>
              <w:t>II.2. Analyse sectorielle de l’évolution du volume d’activité (Volet commerce).</w:t>
            </w:r>
            <w:r w:rsidR="00124D1A">
              <w:rPr>
                <w:noProof/>
                <w:webHidden/>
              </w:rPr>
              <w:tab/>
            </w:r>
            <w:r w:rsidR="00124D1A">
              <w:rPr>
                <w:noProof/>
                <w:webHidden/>
              </w:rPr>
              <w:fldChar w:fldCharType="begin"/>
            </w:r>
            <w:r w:rsidR="00124D1A">
              <w:rPr>
                <w:noProof/>
                <w:webHidden/>
              </w:rPr>
              <w:instrText xml:space="preserve"> PAGEREF _Toc136004692 \h </w:instrText>
            </w:r>
            <w:r w:rsidR="00124D1A">
              <w:rPr>
                <w:noProof/>
                <w:webHidden/>
              </w:rPr>
            </w:r>
            <w:r w:rsidR="00124D1A">
              <w:rPr>
                <w:noProof/>
                <w:webHidden/>
              </w:rPr>
              <w:fldChar w:fldCharType="separate"/>
            </w:r>
            <w:r w:rsidR="00124D1A">
              <w:rPr>
                <w:noProof/>
                <w:webHidden/>
              </w:rPr>
              <w:t>10</w:t>
            </w:r>
            <w:r w:rsidR="00124D1A">
              <w:rPr>
                <w:noProof/>
                <w:webHidden/>
              </w:rPr>
              <w:fldChar w:fldCharType="end"/>
            </w:r>
          </w:hyperlink>
        </w:p>
        <w:p w14:paraId="4AD28744" w14:textId="5182EEC4" w:rsidR="00124D1A" w:rsidRDefault="0066284F">
          <w:pPr>
            <w:pStyle w:val="TM3"/>
            <w:tabs>
              <w:tab w:val="right" w:leader="dot" w:pos="9062"/>
            </w:tabs>
            <w:rPr>
              <w:rFonts w:eastAsiaTheme="minorEastAsia"/>
              <w:noProof/>
              <w:lang w:eastAsia="fr-FR"/>
            </w:rPr>
          </w:pPr>
          <w:hyperlink w:anchor="_Toc136004693" w:history="1">
            <w:r w:rsidR="00124D1A" w:rsidRPr="0066509F">
              <w:rPr>
                <w:rStyle w:val="Lienhypertexte"/>
                <w:rFonts w:ascii="Times New Roman" w:eastAsiaTheme="majorEastAsia" w:hAnsi="Times New Roman" w:cs="Times New Roman"/>
                <w:noProof/>
                <w:lang w:eastAsia="fr-FR"/>
              </w:rPr>
              <w:t>II.2.1 Commerce et réparation d’automobiles et de motocycles</w:t>
            </w:r>
            <w:r w:rsidR="00124D1A">
              <w:rPr>
                <w:noProof/>
                <w:webHidden/>
              </w:rPr>
              <w:tab/>
            </w:r>
            <w:r w:rsidR="00124D1A">
              <w:rPr>
                <w:noProof/>
                <w:webHidden/>
              </w:rPr>
              <w:fldChar w:fldCharType="begin"/>
            </w:r>
            <w:r w:rsidR="00124D1A">
              <w:rPr>
                <w:noProof/>
                <w:webHidden/>
              </w:rPr>
              <w:instrText xml:space="preserve"> PAGEREF _Toc136004693 \h </w:instrText>
            </w:r>
            <w:r w:rsidR="00124D1A">
              <w:rPr>
                <w:noProof/>
                <w:webHidden/>
              </w:rPr>
            </w:r>
            <w:r w:rsidR="00124D1A">
              <w:rPr>
                <w:noProof/>
                <w:webHidden/>
              </w:rPr>
              <w:fldChar w:fldCharType="separate"/>
            </w:r>
            <w:r w:rsidR="00124D1A">
              <w:rPr>
                <w:noProof/>
                <w:webHidden/>
              </w:rPr>
              <w:t>10</w:t>
            </w:r>
            <w:r w:rsidR="00124D1A">
              <w:rPr>
                <w:noProof/>
                <w:webHidden/>
              </w:rPr>
              <w:fldChar w:fldCharType="end"/>
            </w:r>
          </w:hyperlink>
        </w:p>
        <w:p w14:paraId="099C0CEE" w14:textId="509E460F" w:rsidR="00124D1A" w:rsidRDefault="0066284F">
          <w:pPr>
            <w:pStyle w:val="TM3"/>
            <w:tabs>
              <w:tab w:val="right" w:leader="dot" w:pos="9062"/>
            </w:tabs>
            <w:rPr>
              <w:rFonts w:eastAsiaTheme="minorEastAsia"/>
              <w:noProof/>
              <w:lang w:eastAsia="fr-FR"/>
            </w:rPr>
          </w:pPr>
          <w:hyperlink w:anchor="_Toc136004694" w:history="1">
            <w:r w:rsidR="00124D1A" w:rsidRPr="0066509F">
              <w:rPr>
                <w:rStyle w:val="Lienhypertexte"/>
                <w:rFonts w:ascii="Times New Roman" w:eastAsiaTheme="majorEastAsia" w:hAnsi="Times New Roman" w:cs="Times New Roman"/>
                <w:noProof/>
                <w:lang w:eastAsia="fr-FR"/>
              </w:rPr>
              <w:t>II.2.2 Commerce de gros et activités des intermédiaires</w:t>
            </w:r>
            <w:r w:rsidR="00124D1A">
              <w:rPr>
                <w:noProof/>
                <w:webHidden/>
              </w:rPr>
              <w:tab/>
            </w:r>
            <w:r w:rsidR="00124D1A">
              <w:rPr>
                <w:noProof/>
                <w:webHidden/>
              </w:rPr>
              <w:fldChar w:fldCharType="begin"/>
            </w:r>
            <w:r w:rsidR="00124D1A">
              <w:rPr>
                <w:noProof/>
                <w:webHidden/>
              </w:rPr>
              <w:instrText xml:space="preserve"> PAGEREF _Toc136004694 \h </w:instrText>
            </w:r>
            <w:r w:rsidR="00124D1A">
              <w:rPr>
                <w:noProof/>
                <w:webHidden/>
              </w:rPr>
            </w:r>
            <w:r w:rsidR="00124D1A">
              <w:rPr>
                <w:noProof/>
                <w:webHidden/>
              </w:rPr>
              <w:fldChar w:fldCharType="separate"/>
            </w:r>
            <w:r w:rsidR="00124D1A">
              <w:rPr>
                <w:noProof/>
                <w:webHidden/>
              </w:rPr>
              <w:t>10</w:t>
            </w:r>
            <w:r w:rsidR="00124D1A">
              <w:rPr>
                <w:noProof/>
                <w:webHidden/>
              </w:rPr>
              <w:fldChar w:fldCharType="end"/>
            </w:r>
          </w:hyperlink>
        </w:p>
        <w:p w14:paraId="42A8B60A" w14:textId="227BBDF2" w:rsidR="00124D1A" w:rsidRDefault="0066284F">
          <w:pPr>
            <w:pStyle w:val="TM3"/>
            <w:tabs>
              <w:tab w:val="right" w:leader="dot" w:pos="9062"/>
            </w:tabs>
            <w:rPr>
              <w:rFonts w:eastAsiaTheme="minorEastAsia"/>
              <w:noProof/>
              <w:lang w:eastAsia="fr-FR"/>
            </w:rPr>
          </w:pPr>
          <w:hyperlink w:anchor="_Toc136004695" w:history="1">
            <w:r w:rsidR="00124D1A" w:rsidRPr="0066509F">
              <w:rPr>
                <w:rStyle w:val="Lienhypertexte"/>
                <w:rFonts w:ascii="Times New Roman" w:eastAsiaTheme="majorEastAsia" w:hAnsi="Times New Roman" w:cs="Times New Roman"/>
                <w:noProof/>
                <w:lang w:eastAsia="fr-FR"/>
              </w:rPr>
              <w:t>II.2.3 Commerce de gros des produits pétroliers</w:t>
            </w:r>
            <w:r w:rsidR="00124D1A">
              <w:rPr>
                <w:noProof/>
                <w:webHidden/>
              </w:rPr>
              <w:tab/>
            </w:r>
            <w:r w:rsidR="00124D1A">
              <w:rPr>
                <w:noProof/>
                <w:webHidden/>
              </w:rPr>
              <w:fldChar w:fldCharType="begin"/>
            </w:r>
            <w:r w:rsidR="00124D1A">
              <w:rPr>
                <w:noProof/>
                <w:webHidden/>
              </w:rPr>
              <w:instrText xml:space="preserve"> PAGEREF _Toc136004695 \h </w:instrText>
            </w:r>
            <w:r w:rsidR="00124D1A">
              <w:rPr>
                <w:noProof/>
                <w:webHidden/>
              </w:rPr>
            </w:r>
            <w:r w:rsidR="00124D1A">
              <w:rPr>
                <w:noProof/>
                <w:webHidden/>
              </w:rPr>
              <w:fldChar w:fldCharType="separate"/>
            </w:r>
            <w:r w:rsidR="00124D1A">
              <w:rPr>
                <w:noProof/>
                <w:webHidden/>
              </w:rPr>
              <w:t>11</w:t>
            </w:r>
            <w:r w:rsidR="00124D1A">
              <w:rPr>
                <w:noProof/>
                <w:webHidden/>
              </w:rPr>
              <w:fldChar w:fldCharType="end"/>
            </w:r>
          </w:hyperlink>
        </w:p>
        <w:p w14:paraId="5D5C8495" w14:textId="425C8129" w:rsidR="00124D1A" w:rsidRDefault="0066284F">
          <w:pPr>
            <w:pStyle w:val="TM3"/>
            <w:tabs>
              <w:tab w:val="right" w:leader="dot" w:pos="9062"/>
            </w:tabs>
            <w:rPr>
              <w:rFonts w:eastAsiaTheme="minorEastAsia"/>
              <w:noProof/>
              <w:lang w:eastAsia="fr-FR"/>
            </w:rPr>
          </w:pPr>
          <w:hyperlink w:anchor="_Toc136004696" w:history="1">
            <w:r w:rsidR="00124D1A" w:rsidRPr="0066509F">
              <w:rPr>
                <w:rStyle w:val="Lienhypertexte"/>
                <w:rFonts w:ascii="Times New Roman" w:eastAsiaTheme="majorEastAsia" w:hAnsi="Times New Roman" w:cs="Times New Roman"/>
                <w:noProof/>
                <w:lang w:eastAsia="fr-FR"/>
              </w:rPr>
              <w:t>II.2.4 Commerce de gros des produits pharmaceutiques</w:t>
            </w:r>
            <w:r w:rsidR="00124D1A">
              <w:rPr>
                <w:noProof/>
                <w:webHidden/>
              </w:rPr>
              <w:tab/>
            </w:r>
            <w:r w:rsidR="00124D1A">
              <w:rPr>
                <w:noProof/>
                <w:webHidden/>
              </w:rPr>
              <w:fldChar w:fldCharType="begin"/>
            </w:r>
            <w:r w:rsidR="00124D1A">
              <w:rPr>
                <w:noProof/>
                <w:webHidden/>
              </w:rPr>
              <w:instrText xml:space="preserve"> PAGEREF _Toc136004696 \h </w:instrText>
            </w:r>
            <w:r w:rsidR="00124D1A">
              <w:rPr>
                <w:noProof/>
                <w:webHidden/>
              </w:rPr>
            </w:r>
            <w:r w:rsidR="00124D1A">
              <w:rPr>
                <w:noProof/>
                <w:webHidden/>
              </w:rPr>
              <w:fldChar w:fldCharType="separate"/>
            </w:r>
            <w:r w:rsidR="00124D1A">
              <w:rPr>
                <w:noProof/>
                <w:webHidden/>
              </w:rPr>
              <w:t>12</w:t>
            </w:r>
            <w:r w:rsidR="00124D1A">
              <w:rPr>
                <w:noProof/>
                <w:webHidden/>
              </w:rPr>
              <w:fldChar w:fldCharType="end"/>
            </w:r>
          </w:hyperlink>
        </w:p>
        <w:p w14:paraId="415737FF" w14:textId="2BA68F7A" w:rsidR="00124D1A" w:rsidRDefault="0066284F">
          <w:pPr>
            <w:pStyle w:val="TM3"/>
            <w:tabs>
              <w:tab w:val="right" w:leader="dot" w:pos="9062"/>
            </w:tabs>
            <w:rPr>
              <w:rFonts w:eastAsiaTheme="minorEastAsia"/>
              <w:noProof/>
              <w:lang w:eastAsia="fr-FR"/>
            </w:rPr>
          </w:pPr>
          <w:hyperlink w:anchor="_Toc136004697" w:history="1">
            <w:r w:rsidR="00124D1A" w:rsidRPr="0066509F">
              <w:rPr>
                <w:rStyle w:val="Lienhypertexte"/>
                <w:rFonts w:ascii="Times New Roman" w:eastAsiaTheme="majorEastAsia" w:hAnsi="Times New Roman" w:cs="Times New Roman"/>
                <w:noProof/>
                <w:lang w:eastAsia="fr-FR"/>
              </w:rPr>
              <w:t>II.2.5 Commerce de détail</w:t>
            </w:r>
            <w:r w:rsidR="00124D1A">
              <w:rPr>
                <w:noProof/>
                <w:webHidden/>
              </w:rPr>
              <w:tab/>
            </w:r>
            <w:r w:rsidR="00124D1A">
              <w:rPr>
                <w:noProof/>
                <w:webHidden/>
              </w:rPr>
              <w:fldChar w:fldCharType="begin"/>
            </w:r>
            <w:r w:rsidR="00124D1A">
              <w:rPr>
                <w:noProof/>
                <w:webHidden/>
              </w:rPr>
              <w:instrText xml:space="preserve"> PAGEREF _Toc136004697 \h </w:instrText>
            </w:r>
            <w:r w:rsidR="00124D1A">
              <w:rPr>
                <w:noProof/>
                <w:webHidden/>
              </w:rPr>
            </w:r>
            <w:r w:rsidR="00124D1A">
              <w:rPr>
                <w:noProof/>
                <w:webHidden/>
              </w:rPr>
              <w:fldChar w:fldCharType="separate"/>
            </w:r>
            <w:r w:rsidR="00124D1A">
              <w:rPr>
                <w:noProof/>
                <w:webHidden/>
              </w:rPr>
              <w:t>13</w:t>
            </w:r>
            <w:r w:rsidR="00124D1A">
              <w:rPr>
                <w:noProof/>
                <w:webHidden/>
              </w:rPr>
              <w:fldChar w:fldCharType="end"/>
            </w:r>
          </w:hyperlink>
        </w:p>
        <w:p w14:paraId="4A0C12BE" w14:textId="1C4AE224" w:rsidR="00124D1A" w:rsidRDefault="0066284F">
          <w:pPr>
            <w:pStyle w:val="TM1"/>
            <w:rPr>
              <w:rFonts w:eastAsiaTheme="minorEastAsia"/>
              <w:noProof/>
              <w:lang w:eastAsia="fr-FR"/>
            </w:rPr>
          </w:pPr>
          <w:hyperlink w:anchor="_Toc136004698" w:history="1">
            <w:r w:rsidR="00124D1A" w:rsidRPr="0066509F">
              <w:rPr>
                <w:rStyle w:val="Lienhypertexte"/>
                <w:rFonts w:ascii="Times New Roman" w:eastAsiaTheme="majorEastAsia" w:hAnsi="Times New Roman" w:cs="Times New Roman"/>
                <w:b/>
                <w:bCs/>
                <w:noProof/>
                <w:kern w:val="32"/>
                <w:lang w:eastAsia="fr-FR"/>
              </w:rPr>
              <w:t>III. Analyse de l’évolution du volume d’activité dans le secteur « Services »</w:t>
            </w:r>
            <w:r w:rsidR="00124D1A">
              <w:rPr>
                <w:noProof/>
                <w:webHidden/>
              </w:rPr>
              <w:tab/>
            </w:r>
            <w:r w:rsidR="00124D1A">
              <w:rPr>
                <w:noProof/>
                <w:webHidden/>
              </w:rPr>
              <w:fldChar w:fldCharType="begin"/>
            </w:r>
            <w:r w:rsidR="00124D1A">
              <w:rPr>
                <w:noProof/>
                <w:webHidden/>
              </w:rPr>
              <w:instrText xml:space="preserve"> PAGEREF _Toc136004698 \h </w:instrText>
            </w:r>
            <w:r w:rsidR="00124D1A">
              <w:rPr>
                <w:noProof/>
                <w:webHidden/>
              </w:rPr>
            </w:r>
            <w:r w:rsidR="00124D1A">
              <w:rPr>
                <w:noProof/>
                <w:webHidden/>
              </w:rPr>
              <w:fldChar w:fldCharType="separate"/>
            </w:r>
            <w:r w:rsidR="00124D1A">
              <w:rPr>
                <w:noProof/>
                <w:webHidden/>
              </w:rPr>
              <w:t>14</w:t>
            </w:r>
            <w:r w:rsidR="00124D1A">
              <w:rPr>
                <w:noProof/>
                <w:webHidden/>
              </w:rPr>
              <w:fldChar w:fldCharType="end"/>
            </w:r>
          </w:hyperlink>
        </w:p>
        <w:p w14:paraId="4C37EC72" w14:textId="124238B4" w:rsidR="00124D1A" w:rsidRDefault="0066284F">
          <w:pPr>
            <w:pStyle w:val="TM2"/>
            <w:rPr>
              <w:rFonts w:eastAsiaTheme="minorEastAsia"/>
              <w:noProof/>
              <w:lang w:eastAsia="fr-FR"/>
            </w:rPr>
          </w:pPr>
          <w:hyperlink w:anchor="_Toc136004699" w:history="1">
            <w:r w:rsidR="00124D1A" w:rsidRPr="0066509F">
              <w:rPr>
                <w:rStyle w:val="Lienhypertexte"/>
                <w:rFonts w:ascii="Times New Roman" w:eastAsiaTheme="majorEastAsia" w:hAnsi="Times New Roman" w:cs="Times New Roman"/>
                <w:noProof/>
                <w:shd w:val="clear" w:color="auto" w:fill="FFFFFF"/>
              </w:rPr>
              <w:t>III.1. Analyse globale de l’évolution du volume d’activité dans le secteur des services</w:t>
            </w:r>
            <w:r w:rsidR="00124D1A">
              <w:rPr>
                <w:noProof/>
                <w:webHidden/>
              </w:rPr>
              <w:tab/>
            </w:r>
            <w:r w:rsidR="00124D1A">
              <w:rPr>
                <w:noProof/>
                <w:webHidden/>
              </w:rPr>
              <w:fldChar w:fldCharType="begin"/>
            </w:r>
            <w:r w:rsidR="00124D1A">
              <w:rPr>
                <w:noProof/>
                <w:webHidden/>
              </w:rPr>
              <w:instrText xml:space="preserve"> PAGEREF _Toc136004699 \h </w:instrText>
            </w:r>
            <w:r w:rsidR="00124D1A">
              <w:rPr>
                <w:noProof/>
                <w:webHidden/>
              </w:rPr>
            </w:r>
            <w:r w:rsidR="00124D1A">
              <w:rPr>
                <w:noProof/>
                <w:webHidden/>
              </w:rPr>
              <w:fldChar w:fldCharType="separate"/>
            </w:r>
            <w:r w:rsidR="00124D1A">
              <w:rPr>
                <w:noProof/>
                <w:webHidden/>
              </w:rPr>
              <w:t>14</w:t>
            </w:r>
            <w:r w:rsidR="00124D1A">
              <w:rPr>
                <w:noProof/>
                <w:webHidden/>
              </w:rPr>
              <w:fldChar w:fldCharType="end"/>
            </w:r>
          </w:hyperlink>
        </w:p>
        <w:p w14:paraId="1876C10F" w14:textId="40A544B0" w:rsidR="00124D1A" w:rsidRDefault="0066284F">
          <w:pPr>
            <w:pStyle w:val="TM2"/>
            <w:rPr>
              <w:rFonts w:eastAsiaTheme="minorEastAsia"/>
              <w:noProof/>
              <w:lang w:eastAsia="fr-FR"/>
            </w:rPr>
          </w:pPr>
          <w:hyperlink w:anchor="_Toc136004700" w:history="1">
            <w:r w:rsidR="00124D1A" w:rsidRPr="0066509F">
              <w:rPr>
                <w:rStyle w:val="Lienhypertexte"/>
                <w:rFonts w:ascii="Times New Roman" w:eastAsiaTheme="majorEastAsia" w:hAnsi="Times New Roman" w:cs="Times New Roman"/>
                <w:noProof/>
              </w:rPr>
              <w:t>III.2. Analyse sectorielle de l’évolution du volume d’activité (Volet Services)</w:t>
            </w:r>
            <w:r w:rsidR="00124D1A">
              <w:rPr>
                <w:noProof/>
                <w:webHidden/>
              </w:rPr>
              <w:tab/>
            </w:r>
            <w:r w:rsidR="00124D1A">
              <w:rPr>
                <w:noProof/>
                <w:webHidden/>
              </w:rPr>
              <w:fldChar w:fldCharType="begin"/>
            </w:r>
            <w:r w:rsidR="00124D1A">
              <w:rPr>
                <w:noProof/>
                <w:webHidden/>
              </w:rPr>
              <w:instrText xml:space="preserve"> PAGEREF _Toc136004700 \h </w:instrText>
            </w:r>
            <w:r w:rsidR="00124D1A">
              <w:rPr>
                <w:noProof/>
                <w:webHidden/>
              </w:rPr>
            </w:r>
            <w:r w:rsidR="00124D1A">
              <w:rPr>
                <w:noProof/>
                <w:webHidden/>
              </w:rPr>
              <w:fldChar w:fldCharType="separate"/>
            </w:r>
            <w:r w:rsidR="00124D1A">
              <w:rPr>
                <w:noProof/>
                <w:webHidden/>
              </w:rPr>
              <w:t>15</w:t>
            </w:r>
            <w:r w:rsidR="00124D1A">
              <w:rPr>
                <w:noProof/>
                <w:webHidden/>
              </w:rPr>
              <w:fldChar w:fldCharType="end"/>
            </w:r>
          </w:hyperlink>
        </w:p>
        <w:p w14:paraId="1ED928A7" w14:textId="0A844B10" w:rsidR="00124D1A" w:rsidRDefault="0066284F">
          <w:pPr>
            <w:pStyle w:val="TM3"/>
            <w:tabs>
              <w:tab w:val="right" w:leader="dot" w:pos="9062"/>
            </w:tabs>
            <w:rPr>
              <w:rFonts w:eastAsiaTheme="minorEastAsia"/>
              <w:noProof/>
              <w:lang w:eastAsia="fr-FR"/>
            </w:rPr>
          </w:pPr>
          <w:hyperlink w:anchor="_Toc136004701" w:history="1">
            <w:r w:rsidR="00124D1A" w:rsidRPr="0066509F">
              <w:rPr>
                <w:rStyle w:val="Lienhypertexte"/>
                <w:rFonts w:ascii="Times New Roman" w:eastAsiaTheme="majorEastAsia" w:hAnsi="Times New Roman" w:cs="Times New Roman"/>
                <w:noProof/>
              </w:rPr>
              <w:t>III.2.1 Transport et entreposage</w:t>
            </w:r>
            <w:r w:rsidR="00124D1A">
              <w:rPr>
                <w:noProof/>
                <w:webHidden/>
              </w:rPr>
              <w:tab/>
            </w:r>
            <w:r w:rsidR="00124D1A">
              <w:rPr>
                <w:noProof/>
                <w:webHidden/>
              </w:rPr>
              <w:fldChar w:fldCharType="begin"/>
            </w:r>
            <w:r w:rsidR="00124D1A">
              <w:rPr>
                <w:noProof/>
                <w:webHidden/>
              </w:rPr>
              <w:instrText xml:space="preserve"> PAGEREF _Toc136004701 \h </w:instrText>
            </w:r>
            <w:r w:rsidR="00124D1A">
              <w:rPr>
                <w:noProof/>
                <w:webHidden/>
              </w:rPr>
            </w:r>
            <w:r w:rsidR="00124D1A">
              <w:rPr>
                <w:noProof/>
                <w:webHidden/>
              </w:rPr>
              <w:fldChar w:fldCharType="separate"/>
            </w:r>
            <w:r w:rsidR="00124D1A">
              <w:rPr>
                <w:noProof/>
                <w:webHidden/>
              </w:rPr>
              <w:t>15</w:t>
            </w:r>
            <w:r w:rsidR="00124D1A">
              <w:rPr>
                <w:noProof/>
                <w:webHidden/>
              </w:rPr>
              <w:fldChar w:fldCharType="end"/>
            </w:r>
          </w:hyperlink>
        </w:p>
        <w:p w14:paraId="0BF95E18" w14:textId="63B08E51" w:rsidR="00124D1A" w:rsidRDefault="0066284F">
          <w:pPr>
            <w:pStyle w:val="TM3"/>
            <w:tabs>
              <w:tab w:val="right" w:leader="dot" w:pos="9062"/>
            </w:tabs>
            <w:rPr>
              <w:rFonts w:eastAsiaTheme="minorEastAsia"/>
              <w:noProof/>
              <w:lang w:eastAsia="fr-FR"/>
            </w:rPr>
          </w:pPr>
          <w:hyperlink w:anchor="_Toc136004702" w:history="1">
            <w:r w:rsidR="00124D1A" w:rsidRPr="0066509F">
              <w:rPr>
                <w:rStyle w:val="Lienhypertexte"/>
                <w:rFonts w:ascii="Times New Roman" w:eastAsiaTheme="majorEastAsia" w:hAnsi="Times New Roman" w:cs="Times New Roman"/>
                <w:noProof/>
              </w:rPr>
              <w:t>III.2.2 Hébergement et de restauration</w:t>
            </w:r>
            <w:r w:rsidR="00124D1A">
              <w:rPr>
                <w:noProof/>
                <w:webHidden/>
              </w:rPr>
              <w:tab/>
            </w:r>
            <w:r w:rsidR="00124D1A">
              <w:rPr>
                <w:noProof/>
                <w:webHidden/>
              </w:rPr>
              <w:fldChar w:fldCharType="begin"/>
            </w:r>
            <w:r w:rsidR="00124D1A">
              <w:rPr>
                <w:noProof/>
                <w:webHidden/>
              </w:rPr>
              <w:instrText xml:space="preserve"> PAGEREF _Toc136004702 \h </w:instrText>
            </w:r>
            <w:r w:rsidR="00124D1A">
              <w:rPr>
                <w:noProof/>
                <w:webHidden/>
              </w:rPr>
            </w:r>
            <w:r w:rsidR="00124D1A">
              <w:rPr>
                <w:noProof/>
                <w:webHidden/>
              </w:rPr>
              <w:fldChar w:fldCharType="separate"/>
            </w:r>
            <w:r w:rsidR="00124D1A">
              <w:rPr>
                <w:noProof/>
                <w:webHidden/>
              </w:rPr>
              <w:t>16</w:t>
            </w:r>
            <w:r w:rsidR="00124D1A">
              <w:rPr>
                <w:noProof/>
                <w:webHidden/>
              </w:rPr>
              <w:fldChar w:fldCharType="end"/>
            </w:r>
          </w:hyperlink>
        </w:p>
        <w:p w14:paraId="789B86DF" w14:textId="385AE6B2" w:rsidR="00124D1A" w:rsidRDefault="0066284F">
          <w:pPr>
            <w:pStyle w:val="TM3"/>
            <w:tabs>
              <w:tab w:val="right" w:leader="dot" w:pos="9062"/>
            </w:tabs>
            <w:rPr>
              <w:rFonts w:eastAsiaTheme="minorEastAsia"/>
              <w:noProof/>
              <w:lang w:eastAsia="fr-FR"/>
            </w:rPr>
          </w:pPr>
          <w:hyperlink w:anchor="_Toc136004703" w:history="1">
            <w:r w:rsidR="00124D1A" w:rsidRPr="0066509F">
              <w:rPr>
                <w:rStyle w:val="Lienhypertexte"/>
                <w:rFonts w:ascii="Times New Roman" w:eastAsiaTheme="majorEastAsia" w:hAnsi="Times New Roman" w:cs="Times New Roman"/>
                <w:noProof/>
              </w:rPr>
              <w:t>III.2.3 Information et communication</w:t>
            </w:r>
            <w:r w:rsidR="00124D1A">
              <w:rPr>
                <w:noProof/>
                <w:webHidden/>
              </w:rPr>
              <w:tab/>
            </w:r>
            <w:r w:rsidR="00124D1A">
              <w:rPr>
                <w:noProof/>
                <w:webHidden/>
              </w:rPr>
              <w:fldChar w:fldCharType="begin"/>
            </w:r>
            <w:r w:rsidR="00124D1A">
              <w:rPr>
                <w:noProof/>
                <w:webHidden/>
              </w:rPr>
              <w:instrText xml:space="preserve"> PAGEREF _Toc136004703 \h </w:instrText>
            </w:r>
            <w:r w:rsidR="00124D1A">
              <w:rPr>
                <w:noProof/>
                <w:webHidden/>
              </w:rPr>
            </w:r>
            <w:r w:rsidR="00124D1A">
              <w:rPr>
                <w:noProof/>
                <w:webHidden/>
              </w:rPr>
              <w:fldChar w:fldCharType="separate"/>
            </w:r>
            <w:r w:rsidR="00124D1A">
              <w:rPr>
                <w:noProof/>
                <w:webHidden/>
              </w:rPr>
              <w:t>17</w:t>
            </w:r>
            <w:r w:rsidR="00124D1A">
              <w:rPr>
                <w:noProof/>
                <w:webHidden/>
              </w:rPr>
              <w:fldChar w:fldCharType="end"/>
            </w:r>
          </w:hyperlink>
        </w:p>
        <w:p w14:paraId="01921625" w14:textId="755E8895" w:rsidR="00124D1A" w:rsidRDefault="0066284F">
          <w:pPr>
            <w:pStyle w:val="TM3"/>
            <w:tabs>
              <w:tab w:val="right" w:leader="dot" w:pos="9062"/>
            </w:tabs>
            <w:rPr>
              <w:rFonts w:eastAsiaTheme="minorEastAsia"/>
              <w:noProof/>
              <w:lang w:eastAsia="fr-FR"/>
            </w:rPr>
          </w:pPr>
          <w:hyperlink w:anchor="_Toc136004704" w:history="1">
            <w:r w:rsidR="00124D1A" w:rsidRPr="0066509F">
              <w:rPr>
                <w:rStyle w:val="Lienhypertexte"/>
                <w:rFonts w:ascii="Times New Roman" w:eastAsiaTheme="majorEastAsia" w:hAnsi="Times New Roman" w:cs="Times New Roman"/>
                <w:noProof/>
              </w:rPr>
              <w:t>III.2.4 Activités financières et assurances</w:t>
            </w:r>
            <w:r w:rsidR="00124D1A">
              <w:rPr>
                <w:noProof/>
                <w:webHidden/>
              </w:rPr>
              <w:tab/>
            </w:r>
            <w:r w:rsidR="00124D1A">
              <w:rPr>
                <w:noProof/>
                <w:webHidden/>
              </w:rPr>
              <w:fldChar w:fldCharType="begin"/>
            </w:r>
            <w:r w:rsidR="00124D1A">
              <w:rPr>
                <w:noProof/>
                <w:webHidden/>
              </w:rPr>
              <w:instrText xml:space="preserve"> PAGEREF _Toc136004704 \h </w:instrText>
            </w:r>
            <w:r w:rsidR="00124D1A">
              <w:rPr>
                <w:noProof/>
                <w:webHidden/>
              </w:rPr>
            </w:r>
            <w:r w:rsidR="00124D1A">
              <w:rPr>
                <w:noProof/>
                <w:webHidden/>
              </w:rPr>
              <w:fldChar w:fldCharType="separate"/>
            </w:r>
            <w:r w:rsidR="00124D1A">
              <w:rPr>
                <w:noProof/>
                <w:webHidden/>
              </w:rPr>
              <w:t>17</w:t>
            </w:r>
            <w:r w:rsidR="00124D1A">
              <w:rPr>
                <w:noProof/>
                <w:webHidden/>
              </w:rPr>
              <w:fldChar w:fldCharType="end"/>
            </w:r>
          </w:hyperlink>
        </w:p>
        <w:p w14:paraId="5C684A1A" w14:textId="629D4D55" w:rsidR="00124D1A" w:rsidRDefault="0066284F">
          <w:pPr>
            <w:pStyle w:val="TM3"/>
            <w:tabs>
              <w:tab w:val="right" w:leader="dot" w:pos="9062"/>
            </w:tabs>
            <w:rPr>
              <w:rFonts w:eastAsiaTheme="minorEastAsia"/>
              <w:noProof/>
              <w:lang w:eastAsia="fr-FR"/>
            </w:rPr>
          </w:pPr>
          <w:hyperlink w:anchor="_Toc136004705" w:history="1">
            <w:r w:rsidR="00124D1A" w:rsidRPr="0066509F">
              <w:rPr>
                <w:rStyle w:val="Lienhypertexte"/>
                <w:rFonts w:ascii="Times New Roman" w:eastAsiaTheme="majorEastAsia" w:hAnsi="Times New Roman" w:cs="Times New Roman"/>
                <w:noProof/>
              </w:rPr>
              <w:t>III.2.5 Secteur d’immobilier</w:t>
            </w:r>
            <w:r w:rsidR="00124D1A">
              <w:rPr>
                <w:noProof/>
                <w:webHidden/>
              </w:rPr>
              <w:tab/>
            </w:r>
            <w:r w:rsidR="00124D1A">
              <w:rPr>
                <w:noProof/>
                <w:webHidden/>
              </w:rPr>
              <w:fldChar w:fldCharType="begin"/>
            </w:r>
            <w:r w:rsidR="00124D1A">
              <w:rPr>
                <w:noProof/>
                <w:webHidden/>
              </w:rPr>
              <w:instrText xml:space="preserve"> PAGEREF _Toc136004705 \h </w:instrText>
            </w:r>
            <w:r w:rsidR="00124D1A">
              <w:rPr>
                <w:noProof/>
                <w:webHidden/>
              </w:rPr>
            </w:r>
            <w:r w:rsidR="00124D1A">
              <w:rPr>
                <w:noProof/>
                <w:webHidden/>
              </w:rPr>
              <w:fldChar w:fldCharType="separate"/>
            </w:r>
            <w:r w:rsidR="00124D1A">
              <w:rPr>
                <w:noProof/>
                <w:webHidden/>
              </w:rPr>
              <w:t>18</w:t>
            </w:r>
            <w:r w:rsidR="00124D1A">
              <w:rPr>
                <w:noProof/>
                <w:webHidden/>
              </w:rPr>
              <w:fldChar w:fldCharType="end"/>
            </w:r>
          </w:hyperlink>
        </w:p>
        <w:p w14:paraId="27EFBE49" w14:textId="06FA06E3" w:rsidR="00124D1A" w:rsidRDefault="0066284F">
          <w:pPr>
            <w:pStyle w:val="TM3"/>
            <w:tabs>
              <w:tab w:val="right" w:leader="dot" w:pos="9062"/>
            </w:tabs>
            <w:rPr>
              <w:rFonts w:eastAsiaTheme="minorEastAsia"/>
              <w:noProof/>
              <w:lang w:eastAsia="fr-FR"/>
            </w:rPr>
          </w:pPr>
          <w:hyperlink w:anchor="_Toc136004706" w:history="1">
            <w:r w:rsidR="00124D1A" w:rsidRPr="0066509F">
              <w:rPr>
                <w:rStyle w:val="Lienhypertexte"/>
                <w:rFonts w:ascii="Times New Roman" w:eastAsiaTheme="majorEastAsia" w:hAnsi="Times New Roman" w:cs="Times New Roman"/>
                <w:noProof/>
              </w:rPr>
              <w:t>III.2.6 Secteur d’activités spécialisées, scientifiques et techniques</w:t>
            </w:r>
            <w:r w:rsidR="00124D1A">
              <w:rPr>
                <w:noProof/>
                <w:webHidden/>
              </w:rPr>
              <w:tab/>
            </w:r>
            <w:r w:rsidR="00124D1A">
              <w:rPr>
                <w:noProof/>
                <w:webHidden/>
              </w:rPr>
              <w:fldChar w:fldCharType="begin"/>
            </w:r>
            <w:r w:rsidR="00124D1A">
              <w:rPr>
                <w:noProof/>
                <w:webHidden/>
              </w:rPr>
              <w:instrText xml:space="preserve"> PAGEREF _Toc136004706 \h </w:instrText>
            </w:r>
            <w:r w:rsidR="00124D1A">
              <w:rPr>
                <w:noProof/>
                <w:webHidden/>
              </w:rPr>
            </w:r>
            <w:r w:rsidR="00124D1A">
              <w:rPr>
                <w:noProof/>
                <w:webHidden/>
              </w:rPr>
              <w:fldChar w:fldCharType="separate"/>
            </w:r>
            <w:r w:rsidR="00124D1A">
              <w:rPr>
                <w:noProof/>
                <w:webHidden/>
              </w:rPr>
              <w:t>19</w:t>
            </w:r>
            <w:r w:rsidR="00124D1A">
              <w:rPr>
                <w:noProof/>
                <w:webHidden/>
              </w:rPr>
              <w:fldChar w:fldCharType="end"/>
            </w:r>
          </w:hyperlink>
        </w:p>
        <w:p w14:paraId="3363B89B" w14:textId="3CEBEC08" w:rsidR="00124D1A" w:rsidRDefault="0066284F">
          <w:pPr>
            <w:pStyle w:val="TM3"/>
            <w:tabs>
              <w:tab w:val="right" w:leader="dot" w:pos="9062"/>
            </w:tabs>
            <w:rPr>
              <w:rFonts w:eastAsiaTheme="minorEastAsia"/>
              <w:noProof/>
              <w:lang w:eastAsia="fr-FR"/>
            </w:rPr>
          </w:pPr>
          <w:hyperlink w:anchor="_Toc136004707" w:history="1">
            <w:r w:rsidR="00124D1A" w:rsidRPr="0066509F">
              <w:rPr>
                <w:rStyle w:val="Lienhypertexte"/>
                <w:rFonts w:ascii="Times New Roman" w:eastAsiaTheme="majorEastAsia" w:hAnsi="Times New Roman" w:cs="Times New Roman"/>
                <w:noProof/>
              </w:rPr>
              <w:t>III.2.7 Secteur d’activités des services de soutien et de bureau</w:t>
            </w:r>
            <w:r w:rsidR="00124D1A">
              <w:rPr>
                <w:noProof/>
                <w:webHidden/>
              </w:rPr>
              <w:tab/>
            </w:r>
            <w:r w:rsidR="00124D1A">
              <w:rPr>
                <w:noProof/>
                <w:webHidden/>
              </w:rPr>
              <w:fldChar w:fldCharType="begin"/>
            </w:r>
            <w:r w:rsidR="00124D1A">
              <w:rPr>
                <w:noProof/>
                <w:webHidden/>
              </w:rPr>
              <w:instrText xml:space="preserve"> PAGEREF _Toc136004707 \h </w:instrText>
            </w:r>
            <w:r w:rsidR="00124D1A">
              <w:rPr>
                <w:noProof/>
                <w:webHidden/>
              </w:rPr>
            </w:r>
            <w:r w:rsidR="00124D1A">
              <w:rPr>
                <w:noProof/>
                <w:webHidden/>
              </w:rPr>
              <w:fldChar w:fldCharType="separate"/>
            </w:r>
            <w:r w:rsidR="00124D1A">
              <w:rPr>
                <w:noProof/>
                <w:webHidden/>
              </w:rPr>
              <w:t>20</w:t>
            </w:r>
            <w:r w:rsidR="00124D1A">
              <w:rPr>
                <w:noProof/>
                <w:webHidden/>
              </w:rPr>
              <w:fldChar w:fldCharType="end"/>
            </w:r>
          </w:hyperlink>
        </w:p>
        <w:p w14:paraId="13ADF418" w14:textId="636D1082" w:rsidR="00124D1A" w:rsidRDefault="0066284F">
          <w:pPr>
            <w:pStyle w:val="TM3"/>
            <w:tabs>
              <w:tab w:val="right" w:leader="dot" w:pos="9062"/>
            </w:tabs>
            <w:rPr>
              <w:rFonts w:eastAsiaTheme="minorEastAsia"/>
              <w:noProof/>
              <w:lang w:eastAsia="fr-FR"/>
            </w:rPr>
          </w:pPr>
          <w:hyperlink w:anchor="_Toc136004708" w:history="1">
            <w:r w:rsidR="00124D1A" w:rsidRPr="0066509F">
              <w:rPr>
                <w:rStyle w:val="Lienhypertexte"/>
                <w:rFonts w:ascii="Times New Roman" w:eastAsiaTheme="majorEastAsia" w:hAnsi="Times New Roman" w:cs="Times New Roman"/>
                <w:noProof/>
              </w:rPr>
              <w:t>III.2.8 Secteur des activités pour la santé humaine et l’action sociale</w:t>
            </w:r>
            <w:r w:rsidR="00124D1A">
              <w:rPr>
                <w:noProof/>
                <w:webHidden/>
              </w:rPr>
              <w:tab/>
            </w:r>
            <w:r w:rsidR="00124D1A">
              <w:rPr>
                <w:noProof/>
                <w:webHidden/>
              </w:rPr>
              <w:fldChar w:fldCharType="begin"/>
            </w:r>
            <w:r w:rsidR="00124D1A">
              <w:rPr>
                <w:noProof/>
                <w:webHidden/>
              </w:rPr>
              <w:instrText xml:space="preserve"> PAGEREF _Toc136004708 \h </w:instrText>
            </w:r>
            <w:r w:rsidR="00124D1A">
              <w:rPr>
                <w:noProof/>
                <w:webHidden/>
              </w:rPr>
            </w:r>
            <w:r w:rsidR="00124D1A">
              <w:rPr>
                <w:noProof/>
                <w:webHidden/>
              </w:rPr>
              <w:fldChar w:fldCharType="separate"/>
            </w:r>
            <w:r w:rsidR="00124D1A">
              <w:rPr>
                <w:noProof/>
                <w:webHidden/>
              </w:rPr>
              <w:t>20</w:t>
            </w:r>
            <w:r w:rsidR="00124D1A">
              <w:rPr>
                <w:noProof/>
                <w:webHidden/>
              </w:rPr>
              <w:fldChar w:fldCharType="end"/>
            </w:r>
          </w:hyperlink>
        </w:p>
        <w:p w14:paraId="1379F1C5" w14:textId="4DC62C7E" w:rsidR="00124D1A" w:rsidRDefault="0066284F">
          <w:pPr>
            <w:pStyle w:val="TM3"/>
            <w:tabs>
              <w:tab w:val="right" w:leader="dot" w:pos="9062"/>
            </w:tabs>
            <w:rPr>
              <w:rFonts w:eastAsiaTheme="minorEastAsia"/>
              <w:noProof/>
              <w:lang w:eastAsia="fr-FR"/>
            </w:rPr>
          </w:pPr>
          <w:hyperlink w:anchor="_Toc136004709" w:history="1">
            <w:r w:rsidR="00124D1A" w:rsidRPr="0066509F">
              <w:rPr>
                <w:rStyle w:val="Lienhypertexte"/>
                <w:rFonts w:ascii="Times New Roman" w:eastAsiaTheme="majorEastAsia" w:hAnsi="Times New Roman" w:cs="Times New Roman"/>
                <w:noProof/>
              </w:rPr>
              <w:t>III.2.10 Secteur des activités artistiques, sportives et récréatives</w:t>
            </w:r>
            <w:r w:rsidR="00124D1A">
              <w:rPr>
                <w:noProof/>
                <w:webHidden/>
              </w:rPr>
              <w:tab/>
            </w:r>
            <w:r w:rsidR="00124D1A">
              <w:rPr>
                <w:noProof/>
                <w:webHidden/>
              </w:rPr>
              <w:fldChar w:fldCharType="begin"/>
            </w:r>
            <w:r w:rsidR="00124D1A">
              <w:rPr>
                <w:noProof/>
                <w:webHidden/>
              </w:rPr>
              <w:instrText xml:space="preserve"> PAGEREF _Toc136004709 \h </w:instrText>
            </w:r>
            <w:r w:rsidR="00124D1A">
              <w:rPr>
                <w:noProof/>
                <w:webHidden/>
              </w:rPr>
            </w:r>
            <w:r w:rsidR="00124D1A">
              <w:rPr>
                <w:noProof/>
                <w:webHidden/>
              </w:rPr>
              <w:fldChar w:fldCharType="separate"/>
            </w:r>
            <w:r w:rsidR="00124D1A">
              <w:rPr>
                <w:noProof/>
                <w:webHidden/>
              </w:rPr>
              <w:t>21</w:t>
            </w:r>
            <w:r w:rsidR="00124D1A">
              <w:rPr>
                <w:noProof/>
                <w:webHidden/>
              </w:rPr>
              <w:fldChar w:fldCharType="end"/>
            </w:r>
          </w:hyperlink>
        </w:p>
        <w:p w14:paraId="483CDD1F" w14:textId="4A0CAF09" w:rsidR="00124D1A" w:rsidRDefault="0066284F">
          <w:pPr>
            <w:pStyle w:val="TM1"/>
            <w:rPr>
              <w:rFonts w:eastAsiaTheme="minorEastAsia"/>
              <w:noProof/>
              <w:lang w:eastAsia="fr-FR"/>
            </w:rPr>
          </w:pPr>
          <w:hyperlink w:anchor="_Toc136004710" w:history="1">
            <w:r w:rsidR="00124D1A" w:rsidRPr="0066509F">
              <w:rPr>
                <w:rStyle w:val="Lienhypertexte"/>
                <w:rFonts w:ascii="Times New Roman" w:eastAsiaTheme="majorEastAsia" w:hAnsi="Times New Roman" w:cs="Times New Roman"/>
                <w:b/>
                <w:bCs/>
                <w:noProof/>
                <w:kern w:val="32"/>
                <w:shd w:val="clear" w:color="auto" w:fill="FFFFFF"/>
                <w:lang w:eastAsia="fr-FR"/>
              </w:rPr>
              <w:t>Annexes</w:t>
            </w:r>
            <w:r w:rsidR="00124D1A">
              <w:rPr>
                <w:noProof/>
                <w:webHidden/>
              </w:rPr>
              <w:tab/>
            </w:r>
            <w:r w:rsidR="00124D1A">
              <w:rPr>
                <w:noProof/>
                <w:webHidden/>
              </w:rPr>
              <w:fldChar w:fldCharType="begin"/>
            </w:r>
            <w:r w:rsidR="00124D1A">
              <w:rPr>
                <w:noProof/>
                <w:webHidden/>
              </w:rPr>
              <w:instrText xml:space="preserve"> PAGEREF _Toc136004710 \h </w:instrText>
            </w:r>
            <w:r w:rsidR="00124D1A">
              <w:rPr>
                <w:noProof/>
                <w:webHidden/>
              </w:rPr>
            </w:r>
            <w:r w:rsidR="00124D1A">
              <w:rPr>
                <w:noProof/>
                <w:webHidden/>
              </w:rPr>
              <w:fldChar w:fldCharType="separate"/>
            </w:r>
            <w:r w:rsidR="00124D1A">
              <w:rPr>
                <w:noProof/>
                <w:webHidden/>
              </w:rPr>
              <w:t>22</w:t>
            </w:r>
            <w:r w:rsidR="00124D1A">
              <w:rPr>
                <w:noProof/>
                <w:webHidden/>
              </w:rPr>
              <w:fldChar w:fldCharType="end"/>
            </w:r>
          </w:hyperlink>
        </w:p>
        <w:p w14:paraId="7187B0D8" w14:textId="45E6D46C" w:rsidR="00892EE1" w:rsidRDefault="00892EE1">
          <w:r>
            <w:rPr>
              <w:b/>
              <w:bCs/>
              <w:noProof/>
            </w:rPr>
            <w:fldChar w:fldCharType="end"/>
          </w:r>
        </w:p>
      </w:sdtContent>
    </w:sdt>
    <w:p w14:paraId="7D984779" w14:textId="77777777" w:rsidR="00132B72" w:rsidRPr="00F272CD" w:rsidRDefault="00132B72" w:rsidP="00132B72">
      <w:pPr>
        <w:rPr>
          <w:lang w:val="en-US"/>
        </w:rPr>
      </w:pPr>
    </w:p>
    <w:p w14:paraId="55FAFAA5" w14:textId="77777777" w:rsidR="006D0CD0" w:rsidRPr="00F272CD" w:rsidRDefault="006D0CD0" w:rsidP="00132B72">
      <w:pPr>
        <w:rPr>
          <w:lang w:val="en-US"/>
        </w:rPr>
      </w:pPr>
    </w:p>
    <w:p w14:paraId="186E785E" w14:textId="77777777" w:rsidR="00530A4B" w:rsidRDefault="008A52DE" w:rsidP="00530A4B">
      <w:pPr>
        <w:rPr>
          <w:rFonts w:ascii="Times New Roman" w:hAnsi="Times New Roman" w:cs="Times New Roman"/>
          <w:color w:val="0070C0"/>
          <w:sz w:val="24"/>
          <w:szCs w:val="24"/>
        </w:rPr>
      </w:pPr>
      <w:r w:rsidRPr="008A52DE">
        <w:rPr>
          <w:rFonts w:ascii="Times New Roman" w:hAnsi="Times New Roman" w:cs="Times New Roman"/>
          <w:color w:val="0070C0"/>
          <w:sz w:val="24"/>
          <w:szCs w:val="24"/>
        </w:rPr>
        <w:lastRenderedPageBreak/>
        <w:t>Liste des graphique</w:t>
      </w:r>
      <w:r w:rsidR="00530A4B">
        <w:rPr>
          <w:rFonts w:ascii="Times New Roman" w:hAnsi="Times New Roman" w:cs="Times New Roman"/>
          <w:color w:val="0070C0"/>
          <w:sz w:val="24"/>
          <w:szCs w:val="24"/>
        </w:rPr>
        <w:t xml:space="preserve">s </w:t>
      </w:r>
    </w:p>
    <w:p w14:paraId="60DB7618" w14:textId="4A8C073F" w:rsidR="00124D1A" w:rsidRDefault="00870B1C">
      <w:pPr>
        <w:pStyle w:val="Tabledesillustrations"/>
        <w:tabs>
          <w:tab w:val="right" w:leader="dot" w:pos="9062"/>
        </w:tabs>
        <w:rPr>
          <w:rFonts w:eastAsiaTheme="minorEastAsia"/>
          <w:noProof/>
          <w:lang w:eastAsia="fr-FR"/>
        </w:rPr>
      </w:pPr>
      <w:r w:rsidRPr="00425324">
        <w:rPr>
          <w:rFonts w:ascii="Times New Roman" w:hAnsi="Times New Roman" w:cs="Times New Roman"/>
          <w:bCs/>
          <w:color w:val="0070C0"/>
        </w:rPr>
        <w:fldChar w:fldCharType="begin"/>
      </w:r>
      <w:r w:rsidRPr="00425324">
        <w:rPr>
          <w:rFonts w:ascii="Times New Roman" w:hAnsi="Times New Roman" w:cs="Times New Roman"/>
          <w:bCs/>
          <w:color w:val="0070C0"/>
        </w:rPr>
        <w:instrText xml:space="preserve"> TOC \h \z \c "Graphique" </w:instrText>
      </w:r>
      <w:r w:rsidRPr="00425324">
        <w:rPr>
          <w:rFonts w:ascii="Times New Roman" w:hAnsi="Times New Roman" w:cs="Times New Roman"/>
          <w:bCs/>
          <w:color w:val="0070C0"/>
        </w:rPr>
        <w:fldChar w:fldCharType="separate"/>
      </w:r>
      <w:hyperlink w:anchor="_Toc136004713" w:history="1">
        <w:r w:rsidR="00124D1A" w:rsidRPr="007957F7">
          <w:rPr>
            <w:rStyle w:val="Lienhypertexte"/>
            <w:rFonts w:asciiTheme="majorHAnsi" w:hAnsiTheme="majorHAnsi" w:cstheme="majorHAnsi"/>
            <w:b/>
            <w:iCs/>
            <w:noProof/>
          </w:rPr>
          <w:t>Graphique 1</w:t>
        </w:r>
        <w:r w:rsidR="00124D1A" w:rsidRPr="007957F7">
          <w:rPr>
            <w:rStyle w:val="Lienhypertexte"/>
            <w:rFonts w:asciiTheme="majorHAnsi" w:hAnsiTheme="majorHAnsi" w:cstheme="majorHAnsi"/>
            <w:b/>
            <w:iCs/>
            <w:noProof/>
            <w:lang w:eastAsia="fr-FR"/>
          </w:rPr>
          <w:t>: Evolution de l'Indice du chiffre d'affaires de T1-2018 à T1-2023 (Volet commerce</w:t>
        </w:r>
        <w:r w:rsidR="00124D1A" w:rsidRPr="007957F7">
          <w:rPr>
            <w:rStyle w:val="Lienhypertexte"/>
            <w:rFonts w:asciiTheme="majorHAnsi" w:hAnsiTheme="majorHAnsi" w:cstheme="majorHAnsi"/>
            <w:b/>
            <w:i/>
            <w:iCs/>
            <w:noProof/>
            <w:lang w:eastAsia="fr-FR"/>
          </w:rPr>
          <w:t>)</w:t>
        </w:r>
        <w:r w:rsidR="00124D1A">
          <w:rPr>
            <w:noProof/>
            <w:webHidden/>
          </w:rPr>
          <w:tab/>
        </w:r>
        <w:r w:rsidR="00124D1A">
          <w:rPr>
            <w:noProof/>
            <w:webHidden/>
          </w:rPr>
          <w:fldChar w:fldCharType="begin"/>
        </w:r>
        <w:r w:rsidR="00124D1A">
          <w:rPr>
            <w:noProof/>
            <w:webHidden/>
          </w:rPr>
          <w:instrText xml:space="preserve"> PAGEREF _Toc136004713 \h </w:instrText>
        </w:r>
        <w:r w:rsidR="00124D1A">
          <w:rPr>
            <w:noProof/>
            <w:webHidden/>
          </w:rPr>
        </w:r>
        <w:r w:rsidR="00124D1A">
          <w:rPr>
            <w:noProof/>
            <w:webHidden/>
          </w:rPr>
          <w:fldChar w:fldCharType="separate"/>
        </w:r>
        <w:r w:rsidR="00124D1A">
          <w:rPr>
            <w:noProof/>
            <w:webHidden/>
          </w:rPr>
          <w:t>9</w:t>
        </w:r>
        <w:r w:rsidR="00124D1A">
          <w:rPr>
            <w:noProof/>
            <w:webHidden/>
          </w:rPr>
          <w:fldChar w:fldCharType="end"/>
        </w:r>
      </w:hyperlink>
    </w:p>
    <w:p w14:paraId="5E4E5DAB" w14:textId="27AE4486" w:rsidR="00124D1A" w:rsidRDefault="0066284F">
      <w:pPr>
        <w:pStyle w:val="Tabledesillustrations"/>
        <w:tabs>
          <w:tab w:val="right" w:leader="dot" w:pos="9062"/>
        </w:tabs>
        <w:rPr>
          <w:rFonts w:eastAsiaTheme="minorEastAsia"/>
          <w:noProof/>
          <w:lang w:eastAsia="fr-FR"/>
        </w:rPr>
      </w:pPr>
      <w:hyperlink w:anchor="_Toc136004714" w:history="1">
        <w:r w:rsidR="00124D1A" w:rsidRPr="007957F7">
          <w:rPr>
            <w:rStyle w:val="Lienhypertexte"/>
            <w:rFonts w:asciiTheme="majorHAnsi" w:hAnsiTheme="majorHAnsi" w:cstheme="majorHAnsi"/>
            <w:b/>
            <w:iCs/>
            <w:noProof/>
          </w:rPr>
          <w:t>Graphique 2</w:t>
        </w:r>
        <w:r w:rsidR="00124D1A" w:rsidRPr="007957F7">
          <w:rPr>
            <w:rStyle w:val="Lienhypertexte"/>
            <w:rFonts w:asciiTheme="majorHAnsi" w:hAnsiTheme="majorHAnsi" w:cstheme="majorHAnsi"/>
            <w:b/>
            <w:iCs/>
            <w:noProof/>
            <w:lang w:eastAsia="fr-FR"/>
          </w:rPr>
          <w:t>: Evolution du commerce et réparation d’automobiles et de motocycles</w:t>
        </w:r>
        <w:r w:rsidR="00124D1A">
          <w:rPr>
            <w:noProof/>
            <w:webHidden/>
          </w:rPr>
          <w:tab/>
        </w:r>
        <w:r w:rsidR="00124D1A">
          <w:rPr>
            <w:noProof/>
            <w:webHidden/>
          </w:rPr>
          <w:fldChar w:fldCharType="begin"/>
        </w:r>
        <w:r w:rsidR="00124D1A">
          <w:rPr>
            <w:noProof/>
            <w:webHidden/>
          </w:rPr>
          <w:instrText xml:space="preserve"> PAGEREF _Toc136004714 \h </w:instrText>
        </w:r>
        <w:r w:rsidR="00124D1A">
          <w:rPr>
            <w:noProof/>
            <w:webHidden/>
          </w:rPr>
        </w:r>
        <w:r w:rsidR="00124D1A">
          <w:rPr>
            <w:noProof/>
            <w:webHidden/>
          </w:rPr>
          <w:fldChar w:fldCharType="separate"/>
        </w:r>
        <w:r w:rsidR="00124D1A">
          <w:rPr>
            <w:noProof/>
            <w:webHidden/>
          </w:rPr>
          <w:t>10</w:t>
        </w:r>
        <w:r w:rsidR="00124D1A">
          <w:rPr>
            <w:noProof/>
            <w:webHidden/>
          </w:rPr>
          <w:fldChar w:fldCharType="end"/>
        </w:r>
      </w:hyperlink>
    </w:p>
    <w:p w14:paraId="7F6C58FC" w14:textId="1E12F0B7" w:rsidR="00124D1A" w:rsidRDefault="0066284F">
      <w:pPr>
        <w:pStyle w:val="Tabledesillustrations"/>
        <w:tabs>
          <w:tab w:val="right" w:leader="dot" w:pos="9062"/>
        </w:tabs>
        <w:rPr>
          <w:rFonts w:eastAsiaTheme="minorEastAsia"/>
          <w:noProof/>
          <w:lang w:eastAsia="fr-FR"/>
        </w:rPr>
      </w:pPr>
      <w:hyperlink w:anchor="_Toc136004715" w:history="1">
        <w:r w:rsidR="00124D1A" w:rsidRPr="007957F7">
          <w:rPr>
            <w:rStyle w:val="Lienhypertexte"/>
            <w:rFonts w:asciiTheme="majorHAnsi" w:hAnsiTheme="majorHAnsi" w:cstheme="majorHAnsi"/>
            <w:b/>
            <w:iCs/>
            <w:noProof/>
          </w:rPr>
          <w:t>Graphique 3: Evolution du commerce de gros et activités des intermédiaires</w:t>
        </w:r>
        <w:r w:rsidR="00124D1A">
          <w:rPr>
            <w:noProof/>
            <w:webHidden/>
          </w:rPr>
          <w:tab/>
        </w:r>
        <w:r w:rsidR="00124D1A">
          <w:rPr>
            <w:noProof/>
            <w:webHidden/>
          </w:rPr>
          <w:fldChar w:fldCharType="begin"/>
        </w:r>
        <w:r w:rsidR="00124D1A">
          <w:rPr>
            <w:noProof/>
            <w:webHidden/>
          </w:rPr>
          <w:instrText xml:space="preserve"> PAGEREF _Toc136004715 \h </w:instrText>
        </w:r>
        <w:r w:rsidR="00124D1A">
          <w:rPr>
            <w:noProof/>
            <w:webHidden/>
          </w:rPr>
        </w:r>
        <w:r w:rsidR="00124D1A">
          <w:rPr>
            <w:noProof/>
            <w:webHidden/>
          </w:rPr>
          <w:fldChar w:fldCharType="separate"/>
        </w:r>
        <w:r w:rsidR="00124D1A">
          <w:rPr>
            <w:noProof/>
            <w:webHidden/>
          </w:rPr>
          <w:t>11</w:t>
        </w:r>
        <w:r w:rsidR="00124D1A">
          <w:rPr>
            <w:noProof/>
            <w:webHidden/>
          </w:rPr>
          <w:fldChar w:fldCharType="end"/>
        </w:r>
      </w:hyperlink>
    </w:p>
    <w:p w14:paraId="7A9EC304" w14:textId="3553DECD" w:rsidR="00124D1A" w:rsidRDefault="0066284F">
      <w:pPr>
        <w:pStyle w:val="Tabledesillustrations"/>
        <w:tabs>
          <w:tab w:val="right" w:leader="dot" w:pos="9062"/>
        </w:tabs>
        <w:rPr>
          <w:rFonts w:eastAsiaTheme="minorEastAsia"/>
          <w:noProof/>
          <w:lang w:eastAsia="fr-FR"/>
        </w:rPr>
      </w:pPr>
      <w:hyperlink w:anchor="_Toc136004716" w:history="1">
        <w:r w:rsidR="00124D1A" w:rsidRPr="007957F7">
          <w:rPr>
            <w:rStyle w:val="Lienhypertexte"/>
            <w:rFonts w:asciiTheme="majorHAnsi" w:hAnsiTheme="majorHAnsi" w:cstheme="majorHAnsi"/>
            <w:b/>
            <w:iCs/>
            <w:noProof/>
          </w:rPr>
          <w:t>Graphique 4: Evolution du commerce de gros des produits pétroliers</w:t>
        </w:r>
        <w:r w:rsidR="00124D1A">
          <w:rPr>
            <w:noProof/>
            <w:webHidden/>
          </w:rPr>
          <w:tab/>
        </w:r>
        <w:r w:rsidR="00124D1A">
          <w:rPr>
            <w:noProof/>
            <w:webHidden/>
          </w:rPr>
          <w:fldChar w:fldCharType="begin"/>
        </w:r>
        <w:r w:rsidR="00124D1A">
          <w:rPr>
            <w:noProof/>
            <w:webHidden/>
          </w:rPr>
          <w:instrText xml:space="preserve"> PAGEREF _Toc136004716 \h </w:instrText>
        </w:r>
        <w:r w:rsidR="00124D1A">
          <w:rPr>
            <w:noProof/>
            <w:webHidden/>
          </w:rPr>
        </w:r>
        <w:r w:rsidR="00124D1A">
          <w:rPr>
            <w:noProof/>
            <w:webHidden/>
          </w:rPr>
          <w:fldChar w:fldCharType="separate"/>
        </w:r>
        <w:r w:rsidR="00124D1A">
          <w:rPr>
            <w:noProof/>
            <w:webHidden/>
          </w:rPr>
          <w:t>12</w:t>
        </w:r>
        <w:r w:rsidR="00124D1A">
          <w:rPr>
            <w:noProof/>
            <w:webHidden/>
          </w:rPr>
          <w:fldChar w:fldCharType="end"/>
        </w:r>
      </w:hyperlink>
    </w:p>
    <w:p w14:paraId="37AC59E1" w14:textId="60290E52" w:rsidR="00124D1A" w:rsidRDefault="0066284F">
      <w:pPr>
        <w:pStyle w:val="Tabledesillustrations"/>
        <w:tabs>
          <w:tab w:val="right" w:leader="dot" w:pos="9062"/>
        </w:tabs>
        <w:rPr>
          <w:rFonts w:eastAsiaTheme="minorEastAsia"/>
          <w:noProof/>
          <w:lang w:eastAsia="fr-FR"/>
        </w:rPr>
      </w:pPr>
      <w:hyperlink w:anchor="_Toc136004717" w:history="1">
        <w:r w:rsidR="00124D1A" w:rsidRPr="007957F7">
          <w:rPr>
            <w:rStyle w:val="Lienhypertexte"/>
            <w:rFonts w:ascii="Times New Roman" w:eastAsiaTheme="majorEastAsia" w:hAnsi="Times New Roman" w:cs="Times New Roman"/>
            <w:noProof/>
            <w:lang w:eastAsia="fr-FR"/>
          </w:rPr>
          <w:t>Graphique 5: Evolution du commerce de gros des produits pharmaceutiques</w:t>
        </w:r>
        <w:r w:rsidR="00124D1A">
          <w:rPr>
            <w:noProof/>
            <w:webHidden/>
          </w:rPr>
          <w:tab/>
        </w:r>
        <w:r w:rsidR="00124D1A">
          <w:rPr>
            <w:noProof/>
            <w:webHidden/>
          </w:rPr>
          <w:fldChar w:fldCharType="begin"/>
        </w:r>
        <w:r w:rsidR="00124D1A">
          <w:rPr>
            <w:noProof/>
            <w:webHidden/>
          </w:rPr>
          <w:instrText xml:space="preserve"> PAGEREF _Toc136004717 \h </w:instrText>
        </w:r>
        <w:r w:rsidR="00124D1A">
          <w:rPr>
            <w:noProof/>
            <w:webHidden/>
          </w:rPr>
        </w:r>
        <w:r w:rsidR="00124D1A">
          <w:rPr>
            <w:noProof/>
            <w:webHidden/>
          </w:rPr>
          <w:fldChar w:fldCharType="separate"/>
        </w:r>
        <w:r w:rsidR="00124D1A">
          <w:rPr>
            <w:noProof/>
            <w:webHidden/>
          </w:rPr>
          <w:t>13</w:t>
        </w:r>
        <w:r w:rsidR="00124D1A">
          <w:rPr>
            <w:noProof/>
            <w:webHidden/>
          </w:rPr>
          <w:fldChar w:fldCharType="end"/>
        </w:r>
      </w:hyperlink>
    </w:p>
    <w:p w14:paraId="6A00D617" w14:textId="0B4416BB" w:rsidR="00124D1A" w:rsidRDefault="0066284F">
      <w:pPr>
        <w:pStyle w:val="Tabledesillustrations"/>
        <w:tabs>
          <w:tab w:val="right" w:leader="dot" w:pos="9062"/>
        </w:tabs>
        <w:rPr>
          <w:rFonts w:eastAsiaTheme="minorEastAsia"/>
          <w:noProof/>
          <w:lang w:eastAsia="fr-FR"/>
        </w:rPr>
      </w:pPr>
      <w:hyperlink w:anchor="_Toc136004718" w:history="1">
        <w:r w:rsidR="00124D1A" w:rsidRPr="007957F7">
          <w:rPr>
            <w:rStyle w:val="Lienhypertexte"/>
            <w:rFonts w:asciiTheme="majorHAnsi" w:hAnsiTheme="majorHAnsi" w:cstheme="majorHAnsi"/>
            <w:b/>
            <w:noProof/>
          </w:rPr>
          <w:t>Graphique 6: Evolution du commerce de détail</w:t>
        </w:r>
        <w:r w:rsidR="00124D1A">
          <w:rPr>
            <w:noProof/>
            <w:webHidden/>
          </w:rPr>
          <w:tab/>
        </w:r>
        <w:r w:rsidR="00124D1A">
          <w:rPr>
            <w:noProof/>
            <w:webHidden/>
          </w:rPr>
          <w:fldChar w:fldCharType="begin"/>
        </w:r>
        <w:r w:rsidR="00124D1A">
          <w:rPr>
            <w:noProof/>
            <w:webHidden/>
          </w:rPr>
          <w:instrText xml:space="preserve"> PAGEREF _Toc136004718 \h </w:instrText>
        </w:r>
        <w:r w:rsidR="00124D1A">
          <w:rPr>
            <w:noProof/>
            <w:webHidden/>
          </w:rPr>
        </w:r>
        <w:r w:rsidR="00124D1A">
          <w:rPr>
            <w:noProof/>
            <w:webHidden/>
          </w:rPr>
          <w:fldChar w:fldCharType="separate"/>
        </w:r>
        <w:r w:rsidR="00124D1A">
          <w:rPr>
            <w:noProof/>
            <w:webHidden/>
          </w:rPr>
          <w:t>14</w:t>
        </w:r>
        <w:r w:rsidR="00124D1A">
          <w:rPr>
            <w:noProof/>
            <w:webHidden/>
          </w:rPr>
          <w:fldChar w:fldCharType="end"/>
        </w:r>
      </w:hyperlink>
    </w:p>
    <w:p w14:paraId="3D2229E4" w14:textId="52CC8F20" w:rsidR="00124D1A" w:rsidRDefault="0066284F">
      <w:pPr>
        <w:pStyle w:val="Tabledesillustrations"/>
        <w:tabs>
          <w:tab w:val="right" w:leader="dot" w:pos="9062"/>
        </w:tabs>
        <w:rPr>
          <w:rFonts w:eastAsiaTheme="minorEastAsia"/>
          <w:noProof/>
          <w:lang w:eastAsia="fr-FR"/>
        </w:rPr>
      </w:pPr>
      <w:hyperlink w:anchor="_Toc136004719" w:history="1">
        <w:r w:rsidR="00124D1A" w:rsidRPr="007957F7">
          <w:rPr>
            <w:rStyle w:val="Lienhypertexte"/>
            <w:rFonts w:asciiTheme="majorHAnsi" w:hAnsiTheme="majorHAnsi" w:cstheme="majorHAnsi"/>
            <w:b/>
            <w:iCs/>
            <w:noProof/>
          </w:rPr>
          <w:t>Graphique 7: Evolution de l'Indice du chiffre d'affaires de T1-2018 à T2-2022 (Volet Services)</w:t>
        </w:r>
        <w:r w:rsidR="00124D1A">
          <w:rPr>
            <w:noProof/>
            <w:webHidden/>
          </w:rPr>
          <w:tab/>
        </w:r>
        <w:r w:rsidR="00124D1A">
          <w:rPr>
            <w:noProof/>
            <w:webHidden/>
          </w:rPr>
          <w:fldChar w:fldCharType="begin"/>
        </w:r>
        <w:r w:rsidR="00124D1A">
          <w:rPr>
            <w:noProof/>
            <w:webHidden/>
          </w:rPr>
          <w:instrText xml:space="preserve"> PAGEREF _Toc136004719 \h </w:instrText>
        </w:r>
        <w:r w:rsidR="00124D1A">
          <w:rPr>
            <w:noProof/>
            <w:webHidden/>
          </w:rPr>
        </w:r>
        <w:r w:rsidR="00124D1A">
          <w:rPr>
            <w:noProof/>
            <w:webHidden/>
          </w:rPr>
          <w:fldChar w:fldCharType="separate"/>
        </w:r>
        <w:r w:rsidR="00124D1A">
          <w:rPr>
            <w:noProof/>
            <w:webHidden/>
          </w:rPr>
          <w:t>15</w:t>
        </w:r>
        <w:r w:rsidR="00124D1A">
          <w:rPr>
            <w:noProof/>
            <w:webHidden/>
          </w:rPr>
          <w:fldChar w:fldCharType="end"/>
        </w:r>
      </w:hyperlink>
    </w:p>
    <w:p w14:paraId="62ADDB21" w14:textId="21E8B90E" w:rsidR="00124D1A" w:rsidRDefault="0066284F">
      <w:pPr>
        <w:pStyle w:val="Tabledesillustrations"/>
        <w:tabs>
          <w:tab w:val="right" w:leader="dot" w:pos="9062"/>
        </w:tabs>
        <w:rPr>
          <w:rFonts w:eastAsiaTheme="minorEastAsia"/>
          <w:noProof/>
          <w:lang w:eastAsia="fr-FR"/>
        </w:rPr>
      </w:pPr>
      <w:hyperlink w:anchor="_Toc136004720" w:history="1">
        <w:r w:rsidR="00124D1A" w:rsidRPr="007957F7">
          <w:rPr>
            <w:rStyle w:val="Lienhypertexte"/>
            <w:rFonts w:asciiTheme="majorHAnsi" w:hAnsiTheme="majorHAnsi" w:cstheme="majorHAnsi"/>
            <w:b/>
            <w:iCs/>
            <w:noProof/>
          </w:rPr>
          <w:t>Graphique 8: Évolution du volume d’activités du secteur du transport et d’entreposage</w:t>
        </w:r>
        <w:r w:rsidR="00124D1A">
          <w:rPr>
            <w:noProof/>
            <w:webHidden/>
          </w:rPr>
          <w:tab/>
        </w:r>
        <w:r w:rsidR="00124D1A">
          <w:rPr>
            <w:noProof/>
            <w:webHidden/>
          </w:rPr>
          <w:fldChar w:fldCharType="begin"/>
        </w:r>
        <w:r w:rsidR="00124D1A">
          <w:rPr>
            <w:noProof/>
            <w:webHidden/>
          </w:rPr>
          <w:instrText xml:space="preserve"> PAGEREF _Toc136004720 \h </w:instrText>
        </w:r>
        <w:r w:rsidR="00124D1A">
          <w:rPr>
            <w:noProof/>
            <w:webHidden/>
          </w:rPr>
        </w:r>
        <w:r w:rsidR="00124D1A">
          <w:rPr>
            <w:noProof/>
            <w:webHidden/>
          </w:rPr>
          <w:fldChar w:fldCharType="separate"/>
        </w:r>
        <w:r w:rsidR="00124D1A">
          <w:rPr>
            <w:noProof/>
            <w:webHidden/>
          </w:rPr>
          <w:t>16</w:t>
        </w:r>
        <w:r w:rsidR="00124D1A">
          <w:rPr>
            <w:noProof/>
            <w:webHidden/>
          </w:rPr>
          <w:fldChar w:fldCharType="end"/>
        </w:r>
      </w:hyperlink>
    </w:p>
    <w:p w14:paraId="42BC6FE2" w14:textId="4BD20C9A" w:rsidR="00124D1A" w:rsidRDefault="0066284F">
      <w:pPr>
        <w:pStyle w:val="Tabledesillustrations"/>
        <w:tabs>
          <w:tab w:val="right" w:leader="dot" w:pos="9062"/>
        </w:tabs>
        <w:rPr>
          <w:rFonts w:eastAsiaTheme="minorEastAsia"/>
          <w:noProof/>
          <w:lang w:eastAsia="fr-FR"/>
        </w:rPr>
      </w:pPr>
      <w:hyperlink w:anchor="_Toc136004721" w:history="1">
        <w:r w:rsidR="00124D1A" w:rsidRPr="007957F7">
          <w:rPr>
            <w:rStyle w:val="Lienhypertexte"/>
            <w:rFonts w:asciiTheme="majorHAnsi" w:hAnsiTheme="majorHAnsi" w:cstheme="majorHAnsi"/>
            <w:b/>
            <w:iCs/>
            <w:noProof/>
          </w:rPr>
          <w:t>Graphique 9: Evolution du volume d’activités du secteur d'hébergement et de la restauration</w:t>
        </w:r>
        <w:r w:rsidR="00124D1A">
          <w:rPr>
            <w:noProof/>
            <w:webHidden/>
          </w:rPr>
          <w:tab/>
        </w:r>
        <w:r w:rsidR="00124D1A">
          <w:rPr>
            <w:noProof/>
            <w:webHidden/>
          </w:rPr>
          <w:fldChar w:fldCharType="begin"/>
        </w:r>
        <w:r w:rsidR="00124D1A">
          <w:rPr>
            <w:noProof/>
            <w:webHidden/>
          </w:rPr>
          <w:instrText xml:space="preserve"> PAGEREF _Toc136004721 \h </w:instrText>
        </w:r>
        <w:r w:rsidR="00124D1A">
          <w:rPr>
            <w:noProof/>
            <w:webHidden/>
          </w:rPr>
        </w:r>
        <w:r w:rsidR="00124D1A">
          <w:rPr>
            <w:noProof/>
            <w:webHidden/>
          </w:rPr>
          <w:fldChar w:fldCharType="separate"/>
        </w:r>
        <w:r w:rsidR="00124D1A">
          <w:rPr>
            <w:noProof/>
            <w:webHidden/>
          </w:rPr>
          <w:t>16</w:t>
        </w:r>
        <w:r w:rsidR="00124D1A">
          <w:rPr>
            <w:noProof/>
            <w:webHidden/>
          </w:rPr>
          <w:fldChar w:fldCharType="end"/>
        </w:r>
      </w:hyperlink>
    </w:p>
    <w:p w14:paraId="521D0459" w14:textId="2714972C" w:rsidR="00124D1A" w:rsidRDefault="0066284F">
      <w:pPr>
        <w:pStyle w:val="Tabledesillustrations"/>
        <w:tabs>
          <w:tab w:val="right" w:leader="dot" w:pos="9062"/>
        </w:tabs>
        <w:rPr>
          <w:rFonts w:eastAsiaTheme="minorEastAsia"/>
          <w:noProof/>
          <w:lang w:eastAsia="fr-FR"/>
        </w:rPr>
      </w:pPr>
      <w:hyperlink w:anchor="_Toc136004722" w:history="1">
        <w:r w:rsidR="00124D1A" w:rsidRPr="007957F7">
          <w:rPr>
            <w:rStyle w:val="Lienhypertexte"/>
            <w:rFonts w:asciiTheme="majorHAnsi" w:hAnsiTheme="majorHAnsi" w:cstheme="majorHAnsi"/>
            <w:b/>
            <w:iCs/>
            <w:noProof/>
          </w:rPr>
          <w:t>Graphique 10: Evolution du volume d’activités du secteur d'information et de la communication</w:t>
        </w:r>
        <w:r w:rsidR="00124D1A">
          <w:rPr>
            <w:noProof/>
            <w:webHidden/>
          </w:rPr>
          <w:tab/>
        </w:r>
        <w:r w:rsidR="00124D1A">
          <w:rPr>
            <w:noProof/>
            <w:webHidden/>
          </w:rPr>
          <w:fldChar w:fldCharType="begin"/>
        </w:r>
        <w:r w:rsidR="00124D1A">
          <w:rPr>
            <w:noProof/>
            <w:webHidden/>
          </w:rPr>
          <w:instrText xml:space="preserve"> PAGEREF _Toc136004722 \h </w:instrText>
        </w:r>
        <w:r w:rsidR="00124D1A">
          <w:rPr>
            <w:noProof/>
            <w:webHidden/>
          </w:rPr>
        </w:r>
        <w:r w:rsidR="00124D1A">
          <w:rPr>
            <w:noProof/>
            <w:webHidden/>
          </w:rPr>
          <w:fldChar w:fldCharType="separate"/>
        </w:r>
        <w:r w:rsidR="00124D1A">
          <w:rPr>
            <w:noProof/>
            <w:webHidden/>
          </w:rPr>
          <w:t>17</w:t>
        </w:r>
        <w:r w:rsidR="00124D1A">
          <w:rPr>
            <w:noProof/>
            <w:webHidden/>
          </w:rPr>
          <w:fldChar w:fldCharType="end"/>
        </w:r>
      </w:hyperlink>
    </w:p>
    <w:p w14:paraId="3E3C9C9B" w14:textId="0D83685D" w:rsidR="00124D1A" w:rsidRDefault="0066284F">
      <w:pPr>
        <w:pStyle w:val="Tabledesillustrations"/>
        <w:tabs>
          <w:tab w:val="right" w:leader="dot" w:pos="9062"/>
        </w:tabs>
        <w:rPr>
          <w:rFonts w:eastAsiaTheme="minorEastAsia"/>
          <w:noProof/>
          <w:lang w:eastAsia="fr-FR"/>
        </w:rPr>
      </w:pPr>
      <w:hyperlink w:anchor="_Toc136004723" w:history="1">
        <w:r w:rsidR="00124D1A" w:rsidRPr="007957F7">
          <w:rPr>
            <w:rStyle w:val="Lienhypertexte"/>
            <w:rFonts w:asciiTheme="majorHAnsi" w:hAnsiTheme="majorHAnsi" w:cstheme="majorHAnsi"/>
            <w:b/>
            <w:iCs/>
            <w:noProof/>
          </w:rPr>
          <w:t>Graphique 11: Evolution du volume d’activité des activités financières et des assurances</w:t>
        </w:r>
        <w:r w:rsidR="00124D1A">
          <w:rPr>
            <w:noProof/>
            <w:webHidden/>
          </w:rPr>
          <w:tab/>
        </w:r>
        <w:r w:rsidR="00124D1A">
          <w:rPr>
            <w:noProof/>
            <w:webHidden/>
          </w:rPr>
          <w:fldChar w:fldCharType="begin"/>
        </w:r>
        <w:r w:rsidR="00124D1A">
          <w:rPr>
            <w:noProof/>
            <w:webHidden/>
          </w:rPr>
          <w:instrText xml:space="preserve"> PAGEREF _Toc136004723 \h </w:instrText>
        </w:r>
        <w:r w:rsidR="00124D1A">
          <w:rPr>
            <w:noProof/>
            <w:webHidden/>
          </w:rPr>
        </w:r>
        <w:r w:rsidR="00124D1A">
          <w:rPr>
            <w:noProof/>
            <w:webHidden/>
          </w:rPr>
          <w:fldChar w:fldCharType="separate"/>
        </w:r>
        <w:r w:rsidR="00124D1A">
          <w:rPr>
            <w:noProof/>
            <w:webHidden/>
          </w:rPr>
          <w:t>18</w:t>
        </w:r>
        <w:r w:rsidR="00124D1A">
          <w:rPr>
            <w:noProof/>
            <w:webHidden/>
          </w:rPr>
          <w:fldChar w:fldCharType="end"/>
        </w:r>
      </w:hyperlink>
    </w:p>
    <w:p w14:paraId="3650AAB8" w14:textId="62DAA19D" w:rsidR="00124D1A" w:rsidRDefault="0066284F">
      <w:pPr>
        <w:pStyle w:val="Tabledesillustrations"/>
        <w:tabs>
          <w:tab w:val="right" w:leader="dot" w:pos="9062"/>
        </w:tabs>
        <w:rPr>
          <w:rFonts w:eastAsiaTheme="minorEastAsia"/>
          <w:noProof/>
          <w:lang w:eastAsia="fr-FR"/>
        </w:rPr>
      </w:pPr>
      <w:hyperlink w:anchor="_Toc136004724" w:history="1">
        <w:r w:rsidR="00124D1A" w:rsidRPr="007957F7">
          <w:rPr>
            <w:rStyle w:val="Lienhypertexte"/>
            <w:rFonts w:asciiTheme="majorHAnsi" w:hAnsiTheme="majorHAnsi" w:cstheme="majorHAnsi"/>
            <w:b/>
            <w:noProof/>
          </w:rPr>
          <w:t>Graphique 12: Évolution du volume d’activité du secteur immobilier</w:t>
        </w:r>
        <w:r w:rsidR="00124D1A">
          <w:rPr>
            <w:noProof/>
            <w:webHidden/>
          </w:rPr>
          <w:tab/>
        </w:r>
        <w:r w:rsidR="00124D1A">
          <w:rPr>
            <w:noProof/>
            <w:webHidden/>
          </w:rPr>
          <w:fldChar w:fldCharType="begin"/>
        </w:r>
        <w:r w:rsidR="00124D1A">
          <w:rPr>
            <w:noProof/>
            <w:webHidden/>
          </w:rPr>
          <w:instrText xml:space="preserve"> PAGEREF _Toc136004724 \h </w:instrText>
        </w:r>
        <w:r w:rsidR="00124D1A">
          <w:rPr>
            <w:noProof/>
            <w:webHidden/>
          </w:rPr>
        </w:r>
        <w:r w:rsidR="00124D1A">
          <w:rPr>
            <w:noProof/>
            <w:webHidden/>
          </w:rPr>
          <w:fldChar w:fldCharType="separate"/>
        </w:r>
        <w:r w:rsidR="00124D1A">
          <w:rPr>
            <w:noProof/>
            <w:webHidden/>
          </w:rPr>
          <w:t>19</w:t>
        </w:r>
        <w:r w:rsidR="00124D1A">
          <w:rPr>
            <w:noProof/>
            <w:webHidden/>
          </w:rPr>
          <w:fldChar w:fldCharType="end"/>
        </w:r>
      </w:hyperlink>
    </w:p>
    <w:p w14:paraId="4FB22877" w14:textId="6774B3DF" w:rsidR="00124D1A" w:rsidRDefault="0066284F">
      <w:pPr>
        <w:pStyle w:val="Tabledesillustrations"/>
        <w:tabs>
          <w:tab w:val="right" w:leader="dot" w:pos="9062"/>
        </w:tabs>
        <w:rPr>
          <w:rFonts w:eastAsiaTheme="minorEastAsia"/>
          <w:noProof/>
          <w:lang w:eastAsia="fr-FR"/>
        </w:rPr>
      </w:pPr>
      <w:hyperlink w:anchor="_Toc136004725" w:history="1">
        <w:r w:rsidR="00124D1A" w:rsidRPr="007957F7">
          <w:rPr>
            <w:rStyle w:val="Lienhypertexte"/>
            <w:rFonts w:asciiTheme="majorHAnsi" w:hAnsiTheme="majorHAnsi" w:cstheme="majorHAnsi"/>
            <w:b/>
            <w:noProof/>
          </w:rPr>
          <w:t xml:space="preserve">Graphique 13: </w:t>
        </w:r>
        <w:r w:rsidR="00124D1A" w:rsidRPr="007957F7">
          <w:rPr>
            <w:rStyle w:val="Lienhypertexte"/>
            <w:rFonts w:asciiTheme="majorHAnsi" w:hAnsiTheme="majorHAnsi" w:cstheme="majorHAnsi"/>
            <w:b/>
            <w:i/>
            <w:noProof/>
          </w:rPr>
          <w:t>Évolution</w:t>
        </w:r>
        <w:r w:rsidR="00124D1A" w:rsidRPr="007957F7">
          <w:rPr>
            <w:rStyle w:val="Lienhypertexte"/>
            <w:rFonts w:asciiTheme="majorHAnsi" w:hAnsiTheme="majorHAnsi" w:cstheme="majorHAnsi"/>
            <w:b/>
            <w:noProof/>
          </w:rPr>
          <w:t xml:space="preserve"> du volume d’activité du secteur d’activités spécialisées, scientifiques et techniques</w:t>
        </w:r>
        <w:r w:rsidR="00124D1A">
          <w:rPr>
            <w:noProof/>
            <w:webHidden/>
          </w:rPr>
          <w:tab/>
        </w:r>
        <w:r w:rsidR="00124D1A">
          <w:rPr>
            <w:noProof/>
            <w:webHidden/>
          </w:rPr>
          <w:fldChar w:fldCharType="begin"/>
        </w:r>
        <w:r w:rsidR="00124D1A">
          <w:rPr>
            <w:noProof/>
            <w:webHidden/>
          </w:rPr>
          <w:instrText xml:space="preserve"> PAGEREF _Toc136004725 \h </w:instrText>
        </w:r>
        <w:r w:rsidR="00124D1A">
          <w:rPr>
            <w:noProof/>
            <w:webHidden/>
          </w:rPr>
        </w:r>
        <w:r w:rsidR="00124D1A">
          <w:rPr>
            <w:noProof/>
            <w:webHidden/>
          </w:rPr>
          <w:fldChar w:fldCharType="separate"/>
        </w:r>
        <w:r w:rsidR="00124D1A">
          <w:rPr>
            <w:noProof/>
            <w:webHidden/>
          </w:rPr>
          <w:t>19</w:t>
        </w:r>
        <w:r w:rsidR="00124D1A">
          <w:rPr>
            <w:noProof/>
            <w:webHidden/>
          </w:rPr>
          <w:fldChar w:fldCharType="end"/>
        </w:r>
      </w:hyperlink>
    </w:p>
    <w:p w14:paraId="00C72BFC" w14:textId="39683A99" w:rsidR="00124D1A" w:rsidRDefault="0066284F">
      <w:pPr>
        <w:pStyle w:val="Tabledesillustrations"/>
        <w:tabs>
          <w:tab w:val="right" w:leader="dot" w:pos="9062"/>
        </w:tabs>
        <w:rPr>
          <w:rFonts w:eastAsiaTheme="minorEastAsia"/>
          <w:noProof/>
          <w:lang w:eastAsia="fr-FR"/>
        </w:rPr>
      </w:pPr>
      <w:hyperlink w:anchor="_Toc136004726" w:history="1">
        <w:r w:rsidR="00124D1A" w:rsidRPr="007957F7">
          <w:rPr>
            <w:rStyle w:val="Lienhypertexte"/>
            <w:rFonts w:asciiTheme="majorHAnsi" w:hAnsiTheme="majorHAnsi" w:cstheme="majorHAnsi"/>
            <w:b/>
            <w:iCs/>
            <w:noProof/>
          </w:rPr>
          <w:t>Graphique 14: Evolution du volume d’activité du secteur des activités des services de soutien et de bureau</w:t>
        </w:r>
        <w:r w:rsidR="00124D1A">
          <w:rPr>
            <w:noProof/>
            <w:webHidden/>
          </w:rPr>
          <w:tab/>
        </w:r>
        <w:r w:rsidR="00124D1A">
          <w:rPr>
            <w:noProof/>
            <w:webHidden/>
          </w:rPr>
          <w:fldChar w:fldCharType="begin"/>
        </w:r>
        <w:r w:rsidR="00124D1A">
          <w:rPr>
            <w:noProof/>
            <w:webHidden/>
          </w:rPr>
          <w:instrText xml:space="preserve"> PAGEREF _Toc136004726 \h </w:instrText>
        </w:r>
        <w:r w:rsidR="00124D1A">
          <w:rPr>
            <w:noProof/>
            <w:webHidden/>
          </w:rPr>
        </w:r>
        <w:r w:rsidR="00124D1A">
          <w:rPr>
            <w:noProof/>
            <w:webHidden/>
          </w:rPr>
          <w:fldChar w:fldCharType="separate"/>
        </w:r>
        <w:r w:rsidR="00124D1A">
          <w:rPr>
            <w:noProof/>
            <w:webHidden/>
          </w:rPr>
          <w:t>20</w:t>
        </w:r>
        <w:r w:rsidR="00124D1A">
          <w:rPr>
            <w:noProof/>
            <w:webHidden/>
          </w:rPr>
          <w:fldChar w:fldCharType="end"/>
        </w:r>
      </w:hyperlink>
    </w:p>
    <w:p w14:paraId="73EF1259" w14:textId="189BD19E" w:rsidR="00124D1A" w:rsidRDefault="0066284F">
      <w:pPr>
        <w:pStyle w:val="Tabledesillustrations"/>
        <w:tabs>
          <w:tab w:val="right" w:leader="dot" w:pos="9062"/>
        </w:tabs>
        <w:rPr>
          <w:rFonts w:eastAsiaTheme="minorEastAsia"/>
          <w:noProof/>
          <w:lang w:eastAsia="fr-FR"/>
        </w:rPr>
      </w:pPr>
      <w:hyperlink w:anchor="_Toc136004727" w:history="1">
        <w:r w:rsidR="00124D1A" w:rsidRPr="007957F7">
          <w:rPr>
            <w:rStyle w:val="Lienhypertexte"/>
            <w:rFonts w:asciiTheme="majorHAnsi" w:hAnsiTheme="majorHAnsi" w:cstheme="majorHAnsi"/>
            <w:b/>
            <w:iCs/>
            <w:noProof/>
          </w:rPr>
          <w:t>Graphique 15: Évolution du volume d’activité du secteur des activités pour la santé humaine et l’action sociale</w:t>
        </w:r>
        <w:r w:rsidR="00124D1A">
          <w:rPr>
            <w:noProof/>
            <w:webHidden/>
          </w:rPr>
          <w:tab/>
        </w:r>
        <w:r w:rsidR="00124D1A">
          <w:rPr>
            <w:noProof/>
            <w:webHidden/>
          </w:rPr>
          <w:fldChar w:fldCharType="begin"/>
        </w:r>
        <w:r w:rsidR="00124D1A">
          <w:rPr>
            <w:noProof/>
            <w:webHidden/>
          </w:rPr>
          <w:instrText xml:space="preserve"> PAGEREF _Toc136004727 \h </w:instrText>
        </w:r>
        <w:r w:rsidR="00124D1A">
          <w:rPr>
            <w:noProof/>
            <w:webHidden/>
          </w:rPr>
        </w:r>
        <w:r w:rsidR="00124D1A">
          <w:rPr>
            <w:noProof/>
            <w:webHidden/>
          </w:rPr>
          <w:fldChar w:fldCharType="separate"/>
        </w:r>
        <w:r w:rsidR="00124D1A">
          <w:rPr>
            <w:noProof/>
            <w:webHidden/>
          </w:rPr>
          <w:t>21</w:t>
        </w:r>
        <w:r w:rsidR="00124D1A">
          <w:rPr>
            <w:noProof/>
            <w:webHidden/>
          </w:rPr>
          <w:fldChar w:fldCharType="end"/>
        </w:r>
      </w:hyperlink>
    </w:p>
    <w:p w14:paraId="359FDC31" w14:textId="2F111442" w:rsidR="00124D1A" w:rsidRDefault="0066284F">
      <w:pPr>
        <w:pStyle w:val="Tabledesillustrations"/>
        <w:tabs>
          <w:tab w:val="right" w:leader="dot" w:pos="9062"/>
        </w:tabs>
        <w:rPr>
          <w:rFonts w:eastAsiaTheme="minorEastAsia"/>
          <w:noProof/>
          <w:lang w:eastAsia="fr-FR"/>
        </w:rPr>
      </w:pPr>
      <w:hyperlink w:anchor="_Toc136004728" w:history="1">
        <w:r w:rsidR="00124D1A" w:rsidRPr="007957F7">
          <w:rPr>
            <w:rStyle w:val="Lienhypertexte"/>
            <w:rFonts w:asciiTheme="majorHAnsi" w:hAnsiTheme="majorHAnsi" w:cstheme="majorHAnsi"/>
            <w:b/>
            <w:iCs/>
            <w:noProof/>
          </w:rPr>
          <w:t>Graphique 16: Évolution du volume d’activité du secteur des activités artistiques, sportives et récréatives</w:t>
        </w:r>
        <w:r w:rsidR="00124D1A">
          <w:rPr>
            <w:noProof/>
            <w:webHidden/>
          </w:rPr>
          <w:tab/>
        </w:r>
        <w:r w:rsidR="00124D1A">
          <w:rPr>
            <w:noProof/>
            <w:webHidden/>
          </w:rPr>
          <w:fldChar w:fldCharType="begin"/>
        </w:r>
        <w:r w:rsidR="00124D1A">
          <w:rPr>
            <w:noProof/>
            <w:webHidden/>
          </w:rPr>
          <w:instrText xml:space="preserve"> PAGEREF _Toc136004728 \h </w:instrText>
        </w:r>
        <w:r w:rsidR="00124D1A">
          <w:rPr>
            <w:noProof/>
            <w:webHidden/>
          </w:rPr>
        </w:r>
        <w:r w:rsidR="00124D1A">
          <w:rPr>
            <w:noProof/>
            <w:webHidden/>
          </w:rPr>
          <w:fldChar w:fldCharType="separate"/>
        </w:r>
        <w:r w:rsidR="00124D1A">
          <w:rPr>
            <w:noProof/>
            <w:webHidden/>
          </w:rPr>
          <w:t>21</w:t>
        </w:r>
        <w:r w:rsidR="00124D1A">
          <w:rPr>
            <w:noProof/>
            <w:webHidden/>
          </w:rPr>
          <w:fldChar w:fldCharType="end"/>
        </w:r>
      </w:hyperlink>
    </w:p>
    <w:p w14:paraId="3C527F91" w14:textId="1647F054" w:rsidR="00530A4B" w:rsidRPr="002A1E12" w:rsidRDefault="00870B1C" w:rsidP="00425324">
      <w:pPr>
        <w:spacing w:line="360" w:lineRule="auto"/>
        <w:jc w:val="both"/>
        <w:rPr>
          <w:rFonts w:ascii="Times New Roman" w:hAnsi="Times New Roman" w:cs="Times New Roman"/>
          <w:bCs/>
          <w:color w:val="0070C0"/>
        </w:rPr>
      </w:pPr>
      <w:r w:rsidRPr="00425324">
        <w:rPr>
          <w:rFonts w:ascii="Times New Roman" w:hAnsi="Times New Roman" w:cs="Times New Roman"/>
          <w:bCs/>
          <w:color w:val="0070C0"/>
        </w:rPr>
        <w:fldChar w:fldCharType="end"/>
      </w:r>
    </w:p>
    <w:p w14:paraId="43F4ABD3" w14:textId="77777777" w:rsidR="00530A4B" w:rsidRPr="002A1E12" w:rsidRDefault="00530A4B" w:rsidP="002A1E12">
      <w:pPr>
        <w:jc w:val="both"/>
        <w:rPr>
          <w:rFonts w:ascii="Times New Roman" w:hAnsi="Times New Roman" w:cs="Times New Roman"/>
        </w:rPr>
      </w:pPr>
      <w:r w:rsidRPr="002A1E12">
        <w:rPr>
          <w:rFonts w:ascii="Times New Roman" w:hAnsi="Times New Roman" w:cs="Times New Roman"/>
          <w:color w:val="0070C0"/>
        </w:rPr>
        <w:t>Liste des tableaux</w:t>
      </w:r>
    </w:p>
    <w:p w14:paraId="5AA82D9B" w14:textId="121C9553" w:rsidR="00124D1A" w:rsidRDefault="00870B1C">
      <w:pPr>
        <w:pStyle w:val="Tabledesillustrations"/>
        <w:tabs>
          <w:tab w:val="right" w:leader="dot" w:pos="9062"/>
        </w:tabs>
        <w:rPr>
          <w:rFonts w:eastAsiaTheme="minorEastAsia"/>
          <w:noProof/>
          <w:lang w:eastAsia="fr-FR"/>
        </w:rPr>
      </w:pPr>
      <w:r w:rsidRPr="000D7779">
        <w:rPr>
          <w:rFonts w:ascii="Times New Roman" w:hAnsi="Times New Roman" w:cs="Times New Roman"/>
        </w:rPr>
        <w:fldChar w:fldCharType="begin"/>
      </w:r>
      <w:r w:rsidRPr="000D7779">
        <w:rPr>
          <w:rFonts w:ascii="Times New Roman" w:hAnsi="Times New Roman" w:cs="Times New Roman"/>
        </w:rPr>
        <w:instrText xml:space="preserve"> TOC \h \z \c "Tableau" </w:instrText>
      </w:r>
      <w:r w:rsidRPr="000D7779">
        <w:rPr>
          <w:rFonts w:ascii="Times New Roman" w:hAnsi="Times New Roman" w:cs="Times New Roman"/>
        </w:rPr>
        <w:fldChar w:fldCharType="separate"/>
      </w:r>
      <w:hyperlink w:anchor="_Toc136004741" w:history="1">
        <w:r w:rsidR="00124D1A" w:rsidRPr="002848EA">
          <w:rPr>
            <w:rStyle w:val="Lienhypertexte"/>
            <w:rFonts w:asciiTheme="majorHAnsi" w:hAnsiTheme="majorHAnsi" w:cstheme="majorHAnsi"/>
            <w:b/>
            <w:iCs/>
            <w:noProof/>
          </w:rPr>
          <w:t>Tableau 1: Indice du Chiffre d'Affaires (volet commerce) par branches d'activités regroupées de T1 2020 à T1 2023</w:t>
        </w:r>
        <w:r w:rsidR="00124D1A">
          <w:rPr>
            <w:noProof/>
            <w:webHidden/>
          </w:rPr>
          <w:tab/>
        </w:r>
        <w:r w:rsidR="00124D1A">
          <w:rPr>
            <w:noProof/>
            <w:webHidden/>
          </w:rPr>
          <w:fldChar w:fldCharType="begin"/>
        </w:r>
        <w:r w:rsidR="00124D1A">
          <w:rPr>
            <w:noProof/>
            <w:webHidden/>
          </w:rPr>
          <w:instrText xml:space="preserve"> PAGEREF _Toc136004741 \h </w:instrText>
        </w:r>
        <w:r w:rsidR="00124D1A">
          <w:rPr>
            <w:noProof/>
            <w:webHidden/>
          </w:rPr>
        </w:r>
        <w:r w:rsidR="00124D1A">
          <w:rPr>
            <w:noProof/>
            <w:webHidden/>
          </w:rPr>
          <w:fldChar w:fldCharType="separate"/>
        </w:r>
        <w:r w:rsidR="00124D1A">
          <w:rPr>
            <w:noProof/>
            <w:webHidden/>
          </w:rPr>
          <w:t>23</w:t>
        </w:r>
        <w:r w:rsidR="00124D1A">
          <w:rPr>
            <w:noProof/>
            <w:webHidden/>
          </w:rPr>
          <w:fldChar w:fldCharType="end"/>
        </w:r>
      </w:hyperlink>
    </w:p>
    <w:p w14:paraId="00EA7625" w14:textId="2B4EC7A5" w:rsidR="00124D1A" w:rsidRDefault="0066284F">
      <w:pPr>
        <w:pStyle w:val="Tabledesillustrations"/>
        <w:tabs>
          <w:tab w:val="right" w:leader="dot" w:pos="9062"/>
        </w:tabs>
        <w:rPr>
          <w:rFonts w:eastAsiaTheme="minorEastAsia"/>
          <w:noProof/>
          <w:lang w:eastAsia="fr-FR"/>
        </w:rPr>
      </w:pPr>
      <w:hyperlink w:anchor="_Toc136004742" w:history="1">
        <w:r w:rsidR="00124D1A" w:rsidRPr="002848EA">
          <w:rPr>
            <w:rStyle w:val="Lienhypertexte"/>
            <w:rFonts w:asciiTheme="majorHAnsi" w:hAnsiTheme="majorHAnsi" w:cstheme="majorHAnsi"/>
            <w:b/>
            <w:iCs/>
            <w:noProof/>
          </w:rPr>
          <w:t>Tableau 2: Indice du Chiffre d'Affaires (volet service) par branches d'activités regroupées de T1 2020 à T1 2023</w:t>
        </w:r>
        <w:r w:rsidR="00124D1A">
          <w:rPr>
            <w:noProof/>
            <w:webHidden/>
          </w:rPr>
          <w:tab/>
        </w:r>
        <w:r w:rsidR="00124D1A">
          <w:rPr>
            <w:noProof/>
            <w:webHidden/>
          </w:rPr>
          <w:fldChar w:fldCharType="begin"/>
        </w:r>
        <w:r w:rsidR="00124D1A">
          <w:rPr>
            <w:noProof/>
            <w:webHidden/>
          </w:rPr>
          <w:instrText xml:space="preserve"> PAGEREF _Toc136004742 \h </w:instrText>
        </w:r>
        <w:r w:rsidR="00124D1A">
          <w:rPr>
            <w:noProof/>
            <w:webHidden/>
          </w:rPr>
        </w:r>
        <w:r w:rsidR="00124D1A">
          <w:rPr>
            <w:noProof/>
            <w:webHidden/>
          </w:rPr>
          <w:fldChar w:fldCharType="separate"/>
        </w:r>
        <w:r w:rsidR="00124D1A">
          <w:rPr>
            <w:noProof/>
            <w:webHidden/>
          </w:rPr>
          <w:t>24</w:t>
        </w:r>
        <w:r w:rsidR="00124D1A">
          <w:rPr>
            <w:noProof/>
            <w:webHidden/>
          </w:rPr>
          <w:fldChar w:fldCharType="end"/>
        </w:r>
      </w:hyperlink>
    </w:p>
    <w:p w14:paraId="489F118C" w14:textId="7395F36A" w:rsidR="008A52DE" w:rsidRPr="000D7779" w:rsidRDefault="00870B1C" w:rsidP="000D7779">
      <w:pPr>
        <w:spacing w:line="360" w:lineRule="auto"/>
        <w:jc w:val="both"/>
        <w:rPr>
          <w:rFonts w:ascii="Times New Roman" w:hAnsi="Times New Roman" w:cs="Times New Roman"/>
        </w:rPr>
      </w:pPr>
      <w:r w:rsidRPr="000D7779">
        <w:rPr>
          <w:rFonts w:ascii="Times New Roman" w:hAnsi="Times New Roman" w:cs="Times New Roman"/>
        </w:rPr>
        <w:fldChar w:fldCharType="end"/>
      </w:r>
    </w:p>
    <w:p w14:paraId="1970FFE7" w14:textId="77777777" w:rsidR="00132B72" w:rsidRPr="008A52DE" w:rsidRDefault="00132B72" w:rsidP="00132B72"/>
    <w:p w14:paraId="1F1604CE" w14:textId="77777777" w:rsidR="00132B72" w:rsidRPr="008A52DE" w:rsidRDefault="00132B72" w:rsidP="00132B72"/>
    <w:p w14:paraId="08CC7F03" w14:textId="2831593A" w:rsidR="002A1E12" w:rsidRDefault="002A1E12" w:rsidP="003E3104">
      <w:pPr>
        <w:pStyle w:val="Titre1"/>
        <w:spacing w:line="480" w:lineRule="auto"/>
        <w:jc w:val="center"/>
        <w:rPr>
          <w:rFonts w:ascii="Times New Roman" w:hAnsi="Times New Roman" w:cs="Times New Roman"/>
          <w:color w:val="9CC2E5" w:themeColor="accent1" w:themeTint="99"/>
        </w:rPr>
      </w:pPr>
      <w:bookmarkStart w:id="3" w:name="_Toc530553246"/>
    </w:p>
    <w:p w14:paraId="406D6DD0" w14:textId="77777777" w:rsidR="002A1E12" w:rsidRPr="002A1E12" w:rsidRDefault="002A1E12" w:rsidP="002A1E12">
      <w:pPr>
        <w:rPr>
          <w:lang w:eastAsia="fr-FR"/>
        </w:rPr>
      </w:pPr>
    </w:p>
    <w:p w14:paraId="539DF6F3" w14:textId="77777777" w:rsidR="00F27F45" w:rsidRPr="00F27F45" w:rsidRDefault="00F27F45" w:rsidP="00F27F45">
      <w:pPr>
        <w:keepNext/>
        <w:spacing w:before="240" w:after="60" w:line="480" w:lineRule="auto"/>
        <w:jc w:val="center"/>
        <w:outlineLvl w:val="0"/>
        <w:rPr>
          <w:rFonts w:ascii="Times New Roman" w:eastAsiaTheme="majorEastAsia" w:hAnsi="Times New Roman" w:cs="Times New Roman"/>
          <w:b/>
          <w:bCs/>
          <w:color w:val="9CC2E5" w:themeColor="accent1" w:themeTint="99"/>
          <w:kern w:val="32"/>
          <w:sz w:val="32"/>
          <w:szCs w:val="32"/>
          <w:lang w:eastAsia="fr-FR"/>
        </w:rPr>
      </w:pPr>
      <w:bookmarkStart w:id="4" w:name="_Toc136004685"/>
      <w:bookmarkEnd w:id="3"/>
      <w:r w:rsidRPr="00F27F45">
        <w:rPr>
          <w:rFonts w:ascii="Times New Roman" w:eastAsiaTheme="majorEastAsia" w:hAnsi="Times New Roman" w:cs="Times New Roman"/>
          <w:b/>
          <w:bCs/>
          <w:color w:val="9CC2E5" w:themeColor="accent1" w:themeTint="99"/>
          <w:kern w:val="32"/>
          <w:sz w:val="32"/>
          <w:szCs w:val="32"/>
          <w:lang w:eastAsia="fr-FR"/>
        </w:rPr>
        <w:lastRenderedPageBreak/>
        <w:t>I.     Introduction</w:t>
      </w:r>
      <w:bookmarkEnd w:id="4"/>
    </w:p>
    <w:p w14:paraId="6E179D3E" w14:textId="77777777" w:rsidR="00F27F45" w:rsidRPr="00F27F45" w:rsidRDefault="00F27F45" w:rsidP="00F27F45">
      <w:pPr>
        <w:keepNext/>
        <w:keepLines/>
        <w:spacing w:before="40" w:after="0" w:line="480" w:lineRule="auto"/>
        <w:outlineLvl w:val="1"/>
        <w:rPr>
          <w:rFonts w:asciiTheme="majorHAnsi" w:eastAsiaTheme="majorEastAsia" w:hAnsiTheme="majorHAnsi" w:cstheme="majorBidi"/>
          <w:color w:val="2E74B5" w:themeColor="accent1" w:themeShade="BF"/>
          <w:sz w:val="26"/>
          <w:szCs w:val="26"/>
        </w:rPr>
      </w:pPr>
      <w:bookmarkStart w:id="5" w:name="_Toc530553247"/>
      <w:bookmarkStart w:id="6" w:name="_Toc136004686"/>
      <w:r w:rsidRPr="00F27F45">
        <w:rPr>
          <w:rFonts w:asciiTheme="majorHAnsi" w:eastAsiaTheme="majorEastAsia" w:hAnsiTheme="majorHAnsi" w:cstheme="majorBidi"/>
          <w:color w:val="2E74B5" w:themeColor="accent1" w:themeShade="BF"/>
          <w:sz w:val="26"/>
          <w:szCs w:val="26"/>
        </w:rPr>
        <w:t>I.1. Bref aperçu historique de l’indice du chiffre d’affaire</w:t>
      </w:r>
      <w:bookmarkEnd w:id="5"/>
      <w:r w:rsidRPr="00F27F45">
        <w:rPr>
          <w:rFonts w:asciiTheme="majorHAnsi" w:eastAsiaTheme="majorEastAsia" w:hAnsiTheme="majorHAnsi" w:cstheme="majorBidi"/>
          <w:color w:val="2E74B5" w:themeColor="accent1" w:themeShade="BF"/>
          <w:sz w:val="26"/>
          <w:szCs w:val="26"/>
        </w:rPr>
        <w:t>s</w:t>
      </w:r>
      <w:bookmarkEnd w:id="6"/>
    </w:p>
    <w:p w14:paraId="1AF852FB" w14:textId="77777777" w:rsidR="00F27F45" w:rsidRPr="00F27F45" w:rsidRDefault="00F27F45" w:rsidP="00F27F45">
      <w:pPr>
        <w:autoSpaceDE w:val="0"/>
        <w:autoSpaceDN w:val="0"/>
        <w:adjustRightInd w:val="0"/>
        <w:spacing w:after="0" w:line="360" w:lineRule="auto"/>
        <w:jc w:val="both"/>
        <w:rPr>
          <w:rFonts w:ascii="Times New Roman" w:eastAsia="Batang" w:hAnsi="Times New Roman" w:cs="Times New Roman"/>
          <w:color w:val="000000"/>
          <w:sz w:val="24"/>
          <w:szCs w:val="24"/>
        </w:rPr>
      </w:pPr>
      <w:r w:rsidRPr="00F27F45">
        <w:rPr>
          <w:rFonts w:ascii="Times New Roman" w:eastAsiaTheme="minorEastAsia" w:hAnsi="Times New Roman" w:cs="Times New Roman"/>
          <w:color w:val="000000"/>
          <w:sz w:val="24"/>
          <w:szCs w:val="24"/>
        </w:rPr>
        <w:t xml:space="preserve">Le suivi de la conjoncture économique est appréhendé d’une façon régulière et périodique </w:t>
      </w:r>
      <w:r w:rsidRPr="00F27F45">
        <w:rPr>
          <w:rFonts w:ascii="Times New Roman" w:eastAsiaTheme="minorEastAsia" w:hAnsi="Times New Roman" w:cs="Times New Roman"/>
          <w:sz w:val="24"/>
          <w:szCs w:val="24"/>
        </w:rPr>
        <w:t xml:space="preserve">à travers l’analyse des indicateurs infra annuels produits dans différents secteurs économiques. Au niveau des secteurs primaire et secondaire d’un côté, il se fait grâce à une panoplie d’indices de production entre autres les indices de production qui permettent de mesurer l’évolution de la production des unités agricoles et industrielles exerçant sur le territoire national à une période bien définie. D’un autre côté, le secteur tertiaire constitué des activités commerciales et des services fait appel à l’Indice du Chiffre d’Affaires des services (commerce et autres services) qui est un indicateur permettant de mesurer l’évolution, période par période du chiffre d’affaires réalisé par les entreprises de ce secteur. C’est ainsi que </w:t>
      </w:r>
      <w:r w:rsidRPr="00F27F45">
        <w:rPr>
          <w:rFonts w:ascii="Times New Roman" w:eastAsia="Batang" w:hAnsi="Times New Roman" w:cs="Times New Roman"/>
          <w:color w:val="000000"/>
          <w:sz w:val="24"/>
          <w:szCs w:val="24"/>
        </w:rPr>
        <w:t xml:space="preserve">depuis janvier 2017, l’Institut National de la Statistique du Burundi (INSBU) s’est engagé dans un processus de mise en place de l’indice du chiffre d’affaires (ICA), avec l’appui de l’Observatoire économique et statistique d’Afrique Subsaharienne (AFRISTAT). </w:t>
      </w:r>
      <w:r w:rsidRPr="00F27F45">
        <w:rPr>
          <w:rFonts w:ascii="Times New Roman" w:eastAsiaTheme="minorEastAsia" w:hAnsi="Times New Roman" w:cs="Times New Roman"/>
          <w:sz w:val="24"/>
          <w:szCs w:val="24"/>
        </w:rPr>
        <w:t xml:space="preserve">Cet indice donne un aperçu de l’état de santé conjoncturel des entreprises de commerce et des services. </w:t>
      </w:r>
    </w:p>
    <w:p w14:paraId="4394199C"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p>
    <w:p w14:paraId="23A758E1" w14:textId="77777777" w:rsidR="00F27F45" w:rsidRPr="00F27F45" w:rsidRDefault="00F27F45" w:rsidP="00F27F45">
      <w:pPr>
        <w:keepNext/>
        <w:keepLines/>
        <w:spacing w:before="40" w:after="0" w:line="480" w:lineRule="auto"/>
        <w:outlineLvl w:val="1"/>
        <w:rPr>
          <w:rFonts w:asciiTheme="majorHAnsi" w:eastAsiaTheme="majorEastAsia" w:hAnsiTheme="majorHAnsi" w:cstheme="majorBidi"/>
          <w:color w:val="2E74B5" w:themeColor="accent1" w:themeShade="BF"/>
          <w:sz w:val="26"/>
          <w:szCs w:val="26"/>
        </w:rPr>
      </w:pPr>
      <w:bookmarkStart w:id="7" w:name="_Toc530553248"/>
      <w:bookmarkStart w:id="8" w:name="_Toc136004687"/>
      <w:r w:rsidRPr="00F27F45">
        <w:rPr>
          <w:rFonts w:asciiTheme="majorHAnsi" w:eastAsiaTheme="majorEastAsia" w:hAnsiTheme="majorHAnsi" w:cstheme="majorBidi"/>
          <w:color w:val="2E74B5" w:themeColor="accent1" w:themeShade="BF"/>
          <w:sz w:val="26"/>
          <w:szCs w:val="26"/>
        </w:rPr>
        <w:t>I.2. Définition et champ de l’indice du chiffre d’affaire</w:t>
      </w:r>
      <w:bookmarkEnd w:id="7"/>
      <w:r w:rsidRPr="00F27F45">
        <w:rPr>
          <w:rFonts w:asciiTheme="majorHAnsi" w:eastAsiaTheme="majorEastAsia" w:hAnsiTheme="majorHAnsi" w:cstheme="majorBidi"/>
          <w:color w:val="2E74B5" w:themeColor="accent1" w:themeShade="BF"/>
          <w:sz w:val="26"/>
          <w:szCs w:val="26"/>
        </w:rPr>
        <w:t>s</w:t>
      </w:r>
      <w:bookmarkEnd w:id="8"/>
    </w:p>
    <w:p w14:paraId="66097618"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color w:val="000000"/>
          <w:sz w:val="24"/>
          <w:szCs w:val="24"/>
        </w:rPr>
      </w:pPr>
      <w:r w:rsidRPr="00F27F45">
        <w:rPr>
          <w:rFonts w:ascii="Times New Roman" w:eastAsiaTheme="minorEastAsia" w:hAnsi="Times New Roman" w:cs="Times New Roman"/>
          <w:sz w:val="24"/>
          <w:szCs w:val="24"/>
        </w:rPr>
        <w:t>Le chiffre d’affaires hors taxes est le montant des ventes des produits et services liés aux activités ordinaires d’une entreprise déduit des impôts et taxes associés à ces dernières.</w:t>
      </w:r>
      <w:r w:rsidRPr="00F27F45">
        <w:rPr>
          <w:rFonts w:ascii="Times New Roman" w:eastAsiaTheme="minorEastAsia" w:hAnsi="Times New Roman" w:cs="Times New Roman"/>
          <w:color w:val="000000"/>
          <w:sz w:val="24"/>
          <w:szCs w:val="24"/>
        </w:rPr>
        <w:t xml:space="preserve"> </w:t>
      </w:r>
    </w:p>
    <w:p w14:paraId="14046611"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Il regroupe le montant des ventes de marchandises, des services vendus, de la production vendue et des produits accessoires</w:t>
      </w:r>
      <w:r w:rsidRPr="00F27F45">
        <w:rPr>
          <w:rFonts w:ascii="Times New Roman" w:eastAsiaTheme="minorEastAsia" w:hAnsi="Times New Roman" w:cs="Times New Roman"/>
          <w:color w:val="000000"/>
          <w:sz w:val="24"/>
          <w:szCs w:val="24"/>
        </w:rPr>
        <w:t xml:space="preserve">. </w:t>
      </w:r>
      <w:r w:rsidRPr="00F27F45">
        <w:rPr>
          <w:rFonts w:ascii="Times New Roman" w:eastAsiaTheme="minorEastAsia" w:hAnsi="Times New Roman" w:cs="Times New Roman"/>
          <w:sz w:val="24"/>
          <w:szCs w:val="24"/>
        </w:rPr>
        <w:t xml:space="preserve">Nous pouvons ainsi calculer un indice de la valeur du chiffre d’affaires et un indice du volume du chiffre d’affaires. </w:t>
      </w:r>
    </w:p>
    <w:p w14:paraId="07CC4A82"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L’indice de valeur du chiffre d’affaires compare la valeur du chiffre d’affaires de la période courante (aux prix courants) à celle de l’année de base (aux prix de base). </w:t>
      </w:r>
    </w:p>
    <w:p w14:paraId="435316C6"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Il est calculé en agrégeant les indices élémentaires des produits de l’échantillon pondérés par la part de leur chiffre d’affaires dans l’ensemble du secteur tertiaire. </w:t>
      </w:r>
    </w:p>
    <w:p w14:paraId="659D7096"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L’indice de volume du chiffre d’affaires compare le volume du chiffre d’affaires de la période courante (aux prix courant) à celle de l’année de base (aux prix de base). </w:t>
      </w:r>
    </w:p>
    <w:p w14:paraId="63F50F58"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Dans ce cas-ci, le chiffre d’affaires doit être déflaté en utilisant un indice de prix approprié (indice de prix à la consommation IPC, indice du prix à la production industrielle IPPI, etc.), afin d’éliminer l’effet du prix. Lorsque pour toutes sortes de raisons, des indices de prix appropriés ne sont pas disponibles pour déflater le chiffre d’affaires, le volume du chiffre </w:t>
      </w:r>
      <w:r w:rsidRPr="00F27F45">
        <w:rPr>
          <w:rFonts w:ascii="Times New Roman" w:eastAsiaTheme="minorEastAsia" w:hAnsi="Times New Roman" w:cs="Times New Roman"/>
          <w:sz w:val="24"/>
          <w:szCs w:val="24"/>
        </w:rPr>
        <w:lastRenderedPageBreak/>
        <w:t xml:space="preserve">d’affaires peut être estimé en utilisant des indicateurs de volume de production comme par exemple la quantité physique des biens vendus ou encore des indicateurs d’intrants comme le travail. L’indice de volume du chiffre d’affaires est celui recommandé dans le contexte des statistiques de court terme, mais le plus souvent la disponibilité des données nécessaires pour son calcul fait défaut. </w:t>
      </w:r>
    </w:p>
    <w:p w14:paraId="4B5A8F8A"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Compte tenu de la complexité d’obtenir les quantités de biens et services dans le secteur tertiaire, le calcul de l’indice de volume peut s’avérer compliqué. Dans un premier temps, l’indice de valeur peut être implémenté. </w:t>
      </w:r>
    </w:p>
    <w:p w14:paraId="6C41828A"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p>
    <w:p w14:paraId="2839C712" w14:textId="77777777" w:rsidR="00F27F45" w:rsidRPr="00F27F45" w:rsidRDefault="00F27F45" w:rsidP="00F27F45">
      <w:pPr>
        <w:keepNext/>
        <w:keepLines/>
        <w:spacing w:before="40" w:after="0" w:line="480" w:lineRule="auto"/>
        <w:outlineLvl w:val="1"/>
        <w:rPr>
          <w:rFonts w:asciiTheme="majorHAnsi" w:eastAsiaTheme="majorEastAsia" w:hAnsiTheme="majorHAnsi" w:cstheme="majorBidi"/>
          <w:color w:val="2E74B5" w:themeColor="accent1" w:themeShade="BF"/>
          <w:sz w:val="26"/>
          <w:szCs w:val="26"/>
        </w:rPr>
      </w:pPr>
      <w:bookmarkStart w:id="9" w:name="_Toc530553249"/>
      <w:bookmarkStart w:id="10" w:name="_Toc136004688"/>
      <w:r w:rsidRPr="00F27F45">
        <w:rPr>
          <w:rFonts w:asciiTheme="majorHAnsi" w:eastAsiaTheme="majorEastAsia" w:hAnsiTheme="majorHAnsi" w:cstheme="majorBidi"/>
          <w:color w:val="2E74B5" w:themeColor="accent1" w:themeShade="BF"/>
          <w:sz w:val="26"/>
          <w:szCs w:val="26"/>
        </w:rPr>
        <w:t>I.3. Champ de l’ICA</w:t>
      </w:r>
      <w:bookmarkEnd w:id="9"/>
      <w:bookmarkEnd w:id="10"/>
    </w:p>
    <w:p w14:paraId="4B96B669"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En se référant à la Nomenclature d’Activités des Etats Membres d’AFRISTAT Révision 1 regroupant les activités économiques des secteurs primaire, secondaire et tertiaire, l’ICA concerne uniquement le secteur tertiaire. L’univers géographique de l’ICA est l’ensemble du territoire burundais. La population cible est composée des unités formelles du secteur tertiaire qui mènent l’activité commerciale ou des services à titre principal ou secondaire. Cependant, l’ICA n’est pas calculé sur toutes les activités caractérisant les activités commerciales et des services réalisés sur le sol burundais. En effet, il est calculé sur base d’un échantillon composé de 40 entreprises de commerce correspondant à 47 activités témoins retenues au seuil de représentativité de 95%, dans le secteur du Commerce et 50 entreprises représentées par 83 services témoins retenues pour les services, au même seuil de 95%.</w:t>
      </w:r>
    </w:p>
    <w:p w14:paraId="6FE0AED0" w14:textId="77777777" w:rsidR="00F27F45" w:rsidRPr="00F27F45" w:rsidRDefault="00F27F45" w:rsidP="00F27F45">
      <w:pPr>
        <w:numPr>
          <w:ilvl w:val="0"/>
          <w:numId w:val="16"/>
        </w:numPr>
        <w:autoSpaceDE w:val="0"/>
        <w:autoSpaceDN w:val="0"/>
        <w:adjustRightInd w:val="0"/>
        <w:spacing w:after="0" w:line="360" w:lineRule="auto"/>
        <w:jc w:val="both"/>
        <w:rPr>
          <w:rFonts w:ascii="Times New Roman" w:eastAsiaTheme="minorEastAsia" w:hAnsi="Times New Roman" w:cs="Times New Roman"/>
          <w:b/>
          <w:sz w:val="24"/>
          <w:szCs w:val="24"/>
        </w:rPr>
      </w:pPr>
      <w:r w:rsidRPr="00F27F45">
        <w:rPr>
          <w:rFonts w:ascii="Times New Roman" w:eastAsiaTheme="minorEastAsia" w:hAnsi="Times New Roman" w:cs="Times New Roman"/>
          <w:color w:val="000000"/>
          <w:sz w:val="24"/>
          <w:szCs w:val="24"/>
        </w:rPr>
        <w:t>Pour le commerce, trois branches d’activités sont suivies à savoir</w:t>
      </w:r>
      <w:r w:rsidRPr="00F27F45">
        <w:rPr>
          <w:rFonts w:ascii="Times New Roman" w:eastAsiaTheme="minorEastAsia" w:hAnsi="Times New Roman" w:cs="Times New Roman"/>
          <w:b/>
          <w:color w:val="000000"/>
          <w:sz w:val="24"/>
          <w:szCs w:val="24"/>
        </w:rPr>
        <w:t xml:space="preserve"> :</w:t>
      </w:r>
    </w:p>
    <w:p w14:paraId="199F4525" w14:textId="77777777" w:rsidR="00F27F45" w:rsidRPr="00F27F45" w:rsidRDefault="00F27F45" w:rsidP="00F27F45">
      <w:pPr>
        <w:spacing w:after="120" w:line="360" w:lineRule="auto"/>
        <w:jc w:val="center"/>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Commerce et réparation de véhicules automobiles et de motocycles (Division 45) ;</w:t>
      </w:r>
    </w:p>
    <w:p w14:paraId="0E2C5F5B" w14:textId="77777777" w:rsidR="00F27F45" w:rsidRPr="00F27F45" w:rsidRDefault="00F27F45" w:rsidP="00F27F45">
      <w:pPr>
        <w:spacing w:after="120" w:line="360" w:lineRule="auto"/>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Commerce de gros et des activités intermédiaires (Division 46) ;</w:t>
      </w:r>
    </w:p>
    <w:p w14:paraId="5752E167" w14:textId="77777777" w:rsidR="00F27F45" w:rsidRPr="00F27F45" w:rsidRDefault="00F27F45" w:rsidP="00F27F45">
      <w:pPr>
        <w:spacing w:after="120" w:line="360" w:lineRule="auto"/>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Commerce de détail (Division 47) ;</w:t>
      </w:r>
    </w:p>
    <w:p w14:paraId="219E00DD" w14:textId="77777777" w:rsidR="00F27F45" w:rsidRPr="00F27F45" w:rsidRDefault="00F27F45" w:rsidP="00F27F45">
      <w:pPr>
        <w:numPr>
          <w:ilvl w:val="0"/>
          <w:numId w:val="16"/>
        </w:numPr>
        <w:contextualSpacing/>
        <w:rPr>
          <w:rFonts w:ascii="Times New Roman" w:eastAsia="Batang" w:hAnsi="Times New Roman" w:cs="Times New Roman"/>
          <w:sz w:val="24"/>
          <w:szCs w:val="24"/>
        </w:rPr>
      </w:pPr>
      <w:r w:rsidRPr="00F27F45">
        <w:rPr>
          <w:rFonts w:ascii="Times New Roman" w:eastAsia="Batang" w:hAnsi="Times New Roman" w:cs="Times New Roman"/>
          <w:sz w:val="24"/>
          <w:szCs w:val="24"/>
        </w:rPr>
        <w:t>Pour les services, l’ICA concerne les branches suivantes :</w:t>
      </w:r>
    </w:p>
    <w:p w14:paraId="4593ECF6" w14:textId="77777777" w:rsidR="00F27F45" w:rsidRPr="00F27F45" w:rsidRDefault="00F27F45" w:rsidP="00F27F45">
      <w:pPr>
        <w:spacing w:after="120" w:line="360" w:lineRule="auto"/>
        <w:jc w:val="both"/>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Transport et entreposage (Division 49 à 53)</w:t>
      </w:r>
    </w:p>
    <w:p w14:paraId="56F66891" w14:textId="77777777" w:rsidR="00F27F45" w:rsidRPr="00F27F45" w:rsidRDefault="00F27F45" w:rsidP="00F27F45">
      <w:pPr>
        <w:spacing w:after="120" w:line="360" w:lineRule="auto"/>
        <w:jc w:val="both"/>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Hébergement et restauration (Division 55 &amp;56)</w:t>
      </w:r>
    </w:p>
    <w:p w14:paraId="46165C4A" w14:textId="77777777" w:rsidR="00F27F45" w:rsidRPr="00F27F45" w:rsidRDefault="00F27F45" w:rsidP="00F27F45">
      <w:pPr>
        <w:spacing w:after="120" w:line="360" w:lineRule="auto"/>
        <w:jc w:val="both"/>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Information et communication (Division 58 à 63)</w:t>
      </w:r>
    </w:p>
    <w:p w14:paraId="62DF6603" w14:textId="77777777" w:rsidR="00F27F45" w:rsidRPr="00F27F45" w:rsidRDefault="00F27F45" w:rsidP="00F27F45">
      <w:pPr>
        <w:spacing w:after="120" w:line="360" w:lineRule="auto"/>
        <w:jc w:val="both"/>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Finance et assurance (Division 64 à 66)</w:t>
      </w:r>
    </w:p>
    <w:p w14:paraId="2F5966D8" w14:textId="77777777" w:rsidR="00F27F45" w:rsidRPr="00F27F45" w:rsidRDefault="00F27F45" w:rsidP="00F27F45">
      <w:pPr>
        <w:spacing w:after="120" w:line="360" w:lineRule="auto"/>
        <w:jc w:val="both"/>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Immobilier (Division 68)</w:t>
      </w:r>
    </w:p>
    <w:p w14:paraId="13CB3993" w14:textId="77777777" w:rsidR="00F27F45" w:rsidRPr="00F27F45" w:rsidRDefault="00F27F45" w:rsidP="00F27F45">
      <w:pPr>
        <w:spacing w:after="120" w:line="360" w:lineRule="auto"/>
        <w:jc w:val="both"/>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Activités spécialisées, scientifiques et techniques (Division 69 à 75)</w:t>
      </w:r>
    </w:p>
    <w:p w14:paraId="766C6C5A" w14:textId="77777777" w:rsidR="00F27F45" w:rsidRPr="00F27F45" w:rsidRDefault="00F27F45" w:rsidP="00F27F45">
      <w:pPr>
        <w:spacing w:after="120" w:line="360" w:lineRule="auto"/>
        <w:jc w:val="both"/>
        <w:rPr>
          <w:rFonts w:ascii="Times New Roman" w:eastAsia="Batang" w:hAnsi="Times New Roman" w:cs="Times New Roman"/>
          <w:sz w:val="24"/>
          <w:szCs w:val="24"/>
        </w:rPr>
      </w:pPr>
      <w:r w:rsidRPr="00F27F45">
        <w:rPr>
          <w:rFonts w:ascii="Times New Roman" w:eastAsia="Batang" w:hAnsi="Times New Roman" w:cs="Times New Roman"/>
          <w:sz w:val="24"/>
          <w:szCs w:val="24"/>
        </w:rPr>
        <w:lastRenderedPageBreak/>
        <w:t xml:space="preserve">             Activités des services de soutien et de bureau (Division 77 à 82)</w:t>
      </w:r>
    </w:p>
    <w:p w14:paraId="3885C27D" w14:textId="77777777" w:rsidR="00F27F45" w:rsidRPr="00F27F45" w:rsidRDefault="00F27F45" w:rsidP="00F27F45">
      <w:pPr>
        <w:spacing w:after="120" w:line="360" w:lineRule="auto"/>
        <w:jc w:val="both"/>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Enseignement (Division 85)</w:t>
      </w:r>
    </w:p>
    <w:p w14:paraId="7E8310BF" w14:textId="77777777" w:rsidR="00F27F45" w:rsidRPr="00F27F45" w:rsidRDefault="00F27F45" w:rsidP="00F27F45">
      <w:pPr>
        <w:spacing w:after="120" w:line="360" w:lineRule="auto"/>
        <w:jc w:val="both"/>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Activités pour la santé humaine et l’action sociale (Division 86 à 88)</w:t>
      </w:r>
    </w:p>
    <w:p w14:paraId="05265957" w14:textId="77777777" w:rsidR="00F27F45" w:rsidRPr="00F27F45" w:rsidRDefault="00F27F45" w:rsidP="00F27F45">
      <w:pPr>
        <w:spacing w:after="120" w:line="360" w:lineRule="auto"/>
        <w:jc w:val="both"/>
        <w:rPr>
          <w:rFonts w:ascii="Times New Roman" w:eastAsia="Batang" w:hAnsi="Times New Roman" w:cs="Times New Roman"/>
          <w:sz w:val="24"/>
          <w:szCs w:val="24"/>
        </w:rPr>
      </w:pPr>
      <w:r w:rsidRPr="00F27F45">
        <w:rPr>
          <w:rFonts w:ascii="Times New Roman" w:eastAsia="Batang" w:hAnsi="Times New Roman" w:cs="Times New Roman"/>
          <w:sz w:val="24"/>
          <w:szCs w:val="24"/>
        </w:rPr>
        <w:t xml:space="preserve">            Activités artistiques, sportives et récréatives (Division 90 à 93)</w:t>
      </w:r>
    </w:p>
    <w:p w14:paraId="2B3E0C17" w14:textId="77777777" w:rsidR="00F27F45" w:rsidRPr="00F27F45" w:rsidRDefault="00F27F45" w:rsidP="00F27F45">
      <w:pPr>
        <w:spacing w:after="120" w:line="360" w:lineRule="auto"/>
        <w:jc w:val="both"/>
        <w:rPr>
          <w:rFonts w:ascii="Times New Roman" w:eastAsia="Batang" w:hAnsi="Times New Roman" w:cs="Times New Roman"/>
          <w:sz w:val="24"/>
          <w:szCs w:val="24"/>
        </w:rPr>
      </w:pPr>
    </w:p>
    <w:p w14:paraId="06628BA7" w14:textId="77777777" w:rsidR="00F27F45" w:rsidRPr="00F27F45" w:rsidRDefault="00F27F45" w:rsidP="00F27F45">
      <w:pPr>
        <w:keepNext/>
        <w:keepLines/>
        <w:spacing w:before="40" w:after="0" w:line="480" w:lineRule="auto"/>
        <w:outlineLvl w:val="1"/>
        <w:rPr>
          <w:rFonts w:asciiTheme="majorHAnsi" w:eastAsiaTheme="majorEastAsia" w:hAnsiTheme="majorHAnsi" w:cstheme="majorBidi"/>
          <w:color w:val="2E74B5" w:themeColor="accent1" w:themeShade="BF"/>
          <w:sz w:val="26"/>
          <w:szCs w:val="26"/>
        </w:rPr>
      </w:pPr>
      <w:bookmarkStart w:id="11" w:name="_Toc530553250"/>
      <w:bookmarkStart w:id="12" w:name="_Toc136004689"/>
      <w:r w:rsidRPr="00F27F45">
        <w:rPr>
          <w:rFonts w:asciiTheme="majorHAnsi" w:eastAsiaTheme="majorEastAsia" w:hAnsiTheme="majorHAnsi" w:cstheme="majorBidi"/>
          <w:color w:val="2E74B5" w:themeColor="accent1" w:themeShade="BF"/>
          <w:sz w:val="26"/>
          <w:szCs w:val="26"/>
        </w:rPr>
        <w:t>I.4. Principales utilisations de l’ICA</w:t>
      </w:r>
      <w:bookmarkEnd w:id="11"/>
      <w:bookmarkEnd w:id="12"/>
    </w:p>
    <w:p w14:paraId="0D94291D"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L’un des principaux objectifs de la compilation des indices du chiffre d’affaires est de décrire les variations de court terme en valeur et/ou en volume du chiffre d’affaires du commerce et des services, bref l’évolution de l’activité économique dans ces deux secteurs. En plus de leur importance pour l’analyse de court terme de l’économie en conjonction avec les indices des autres activités économiques (IPI, IPPI, etc.) les ICA fournissent aussi des intrants clés à la compilation des comptes nationaux trimestriels. </w:t>
      </w:r>
    </w:p>
    <w:p w14:paraId="07F9EDCB"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L'ICA est considéré comme un indicateur de grande qualité pour plusieurs raisons, la plus importante étant sa pertinence, à savoir ce qu’il mesure. Cet indice fait état de la fluctuation du chiffre d’affaires des entreprises du secteur tertiaire. Les indices du chiffre d’affaires sont employés, notamment pour répondre à une demande plurielle qui émane : </w:t>
      </w:r>
    </w:p>
    <w:p w14:paraId="1A243753" w14:textId="77777777" w:rsidR="00F27F45" w:rsidRPr="00F27F45" w:rsidRDefault="00F27F45" w:rsidP="00F27F45">
      <w:pPr>
        <w:numPr>
          <w:ilvl w:val="0"/>
          <w:numId w:val="10"/>
        </w:num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Des INS pour les travaux de synthèses macroéconomiques et les études ;</w:t>
      </w:r>
    </w:p>
    <w:p w14:paraId="7A6B35ED" w14:textId="77777777" w:rsidR="00F27F45" w:rsidRPr="00F27F45" w:rsidRDefault="00F27F45" w:rsidP="00F27F45">
      <w:pPr>
        <w:numPr>
          <w:ilvl w:val="0"/>
          <w:numId w:val="10"/>
        </w:num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Des systèmes statistiques publics, dans le souci d’information sur l’activité économique conjoncturelle ;</w:t>
      </w:r>
    </w:p>
    <w:p w14:paraId="7E00CFF0" w14:textId="77777777" w:rsidR="00F27F45" w:rsidRPr="00F27F45" w:rsidRDefault="00F27F45" w:rsidP="00F27F45">
      <w:pPr>
        <w:numPr>
          <w:ilvl w:val="0"/>
          <w:numId w:val="10"/>
        </w:num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D’organismes internationaux pour un suivi économique d’ensemble ;</w:t>
      </w:r>
    </w:p>
    <w:p w14:paraId="00361A5C" w14:textId="77777777" w:rsidR="00F27F45" w:rsidRPr="00F27F45" w:rsidRDefault="00F27F45" w:rsidP="00F27F45">
      <w:pPr>
        <w:numPr>
          <w:ilvl w:val="0"/>
          <w:numId w:val="10"/>
        </w:num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D’agents économiques de la sphère privée ou publique, tels que les collectivités locales, les administrations, les professionnels du commerce et des services ;</w:t>
      </w:r>
    </w:p>
    <w:p w14:paraId="369DEBC0" w14:textId="77777777" w:rsidR="00F27F45" w:rsidRPr="00F27F45" w:rsidRDefault="00F27F45" w:rsidP="00F27F45">
      <w:pPr>
        <w:numPr>
          <w:ilvl w:val="0"/>
          <w:numId w:val="10"/>
        </w:num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Des banques centrales pour les besoins de la politique monétaire, des travaux d’études et de recherche ;</w:t>
      </w:r>
    </w:p>
    <w:p w14:paraId="636A04A8" w14:textId="77777777" w:rsidR="00F27F45" w:rsidRPr="00F27F45" w:rsidRDefault="00F27F45" w:rsidP="00F27F45">
      <w:pPr>
        <w:numPr>
          <w:ilvl w:val="0"/>
          <w:numId w:val="10"/>
        </w:num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Des chercheurs et étudiants dans le cadre des travaux de recherche (mémoires, thèses, etc.).</w:t>
      </w:r>
    </w:p>
    <w:p w14:paraId="75419C6F" w14:textId="77777777" w:rsidR="00F27F45" w:rsidRPr="00F27F45" w:rsidRDefault="00F27F45" w:rsidP="00F27F45">
      <w:pPr>
        <w:autoSpaceDE w:val="0"/>
        <w:autoSpaceDN w:val="0"/>
        <w:adjustRightInd w:val="0"/>
        <w:spacing w:after="0"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L’ICA est sans dimension et facilite les comparaisons dans le temps et dans l’espace de l’intensité des activités dans le commerce de distribution et les services. L’ICA renseigne sur les changements et mouvements qui interviennent dans le climat des affaires. Lorsque cet indice est élevé, cela est synonyme à priori d’un climat favorable dans les affaires. </w:t>
      </w:r>
    </w:p>
    <w:p w14:paraId="711B54BE" w14:textId="77777777" w:rsidR="00F27F45" w:rsidRPr="00F27F45" w:rsidRDefault="00F27F45" w:rsidP="00F27F45">
      <w:pPr>
        <w:keepNext/>
        <w:spacing w:before="240" w:after="60" w:line="360" w:lineRule="auto"/>
        <w:jc w:val="center"/>
        <w:outlineLvl w:val="0"/>
        <w:rPr>
          <w:rFonts w:ascii="Times New Roman" w:eastAsiaTheme="majorEastAsia" w:hAnsi="Times New Roman" w:cs="Times New Roman"/>
          <w:b/>
          <w:bCs/>
          <w:color w:val="0070C0"/>
          <w:kern w:val="32"/>
          <w:sz w:val="28"/>
          <w:szCs w:val="28"/>
          <w:lang w:eastAsia="fr-FR"/>
        </w:rPr>
      </w:pPr>
      <w:bookmarkStart w:id="13" w:name="_Toc530553251"/>
      <w:bookmarkStart w:id="14" w:name="_Hlk530069883"/>
      <w:bookmarkStart w:id="15" w:name="_Toc136004690"/>
      <w:r w:rsidRPr="00F27F45">
        <w:rPr>
          <w:rFonts w:ascii="Times New Roman" w:eastAsiaTheme="majorEastAsia" w:hAnsi="Times New Roman" w:cs="Times New Roman"/>
          <w:b/>
          <w:bCs/>
          <w:color w:val="0070C0"/>
          <w:kern w:val="32"/>
          <w:sz w:val="28"/>
          <w:szCs w:val="28"/>
          <w:lang w:eastAsia="fr-FR"/>
        </w:rPr>
        <w:lastRenderedPageBreak/>
        <w:t>II</w:t>
      </w:r>
      <w:bookmarkEnd w:id="13"/>
      <w:bookmarkEnd w:id="14"/>
      <w:r w:rsidRPr="00F27F45">
        <w:rPr>
          <w:rFonts w:ascii="Times New Roman" w:eastAsiaTheme="majorEastAsia" w:hAnsi="Times New Roman" w:cs="Times New Roman"/>
          <w:b/>
          <w:bCs/>
          <w:color w:val="0070C0"/>
          <w:kern w:val="32"/>
          <w:sz w:val="28"/>
          <w:szCs w:val="28"/>
          <w:lang w:eastAsia="fr-FR"/>
        </w:rPr>
        <w:t xml:space="preserve"> Analyse de l’évolution du volume d’activité dans le secteur « Commerce »</w:t>
      </w:r>
      <w:bookmarkEnd w:id="15"/>
      <w:r w:rsidRPr="00F27F45">
        <w:rPr>
          <w:rFonts w:ascii="Times New Roman" w:eastAsiaTheme="majorEastAsia" w:hAnsi="Times New Roman" w:cs="Times New Roman"/>
          <w:b/>
          <w:bCs/>
          <w:color w:val="0070C0"/>
          <w:kern w:val="32"/>
          <w:sz w:val="28"/>
          <w:szCs w:val="28"/>
          <w:lang w:eastAsia="fr-FR"/>
        </w:rPr>
        <w:t xml:space="preserve">  </w:t>
      </w:r>
    </w:p>
    <w:p w14:paraId="408EF822" w14:textId="77777777" w:rsidR="00F27F45" w:rsidRPr="00F27F45" w:rsidRDefault="00F27F45" w:rsidP="00F27F45">
      <w:pPr>
        <w:keepNext/>
        <w:keepLines/>
        <w:spacing w:before="40" w:after="0" w:line="480" w:lineRule="auto"/>
        <w:outlineLvl w:val="1"/>
        <w:rPr>
          <w:rFonts w:ascii="Times New Roman" w:eastAsiaTheme="majorEastAsia" w:hAnsi="Times New Roman" w:cs="Times New Roman"/>
          <w:color w:val="2E74B5" w:themeColor="accent1" w:themeShade="BF"/>
          <w:sz w:val="24"/>
          <w:szCs w:val="24"/>
          <w:lang w:eastAsia="fr-FR"/>
        </w:rPr>
      </w:pPr>
      <w:bookmarkStart w:id="16" w:name="_Toc530553252"/>
      <w:bookmarkStart w:id="17" w:name="_Toc136004691"/>
      <w:r w:rsidRPr="00F27F45">
        <w:rPr>
          <w:rFonts w:ascii="Times New Roman" w:eastAsiaTheme="majorEastAsia" w:hAnsi="Times New Roman" w:cs="Times New Roman"/>
          <w:color w:val="2E74B5" w:themeColor="accent1" w:themeShade="BF"/>
          <w:sz w:val="24"/>
          <w:szCs w:val="24"/>
          <w:lang w:eastAsia="fr-FR"/>
        </w:rPr>
        <w:t xml:space="preserve">II.1. </w:t>
      </w:r>
      <w:bookmarkEnd w:id="16"/>
      <w:r w:rsidRPr="00F27F45">
        <w:rPr>
          <w:rFonts w:ascii="Times New Roman" w:eastAsiaTheme="majorEastAsia" w:hAnsi="Times New Roman" w:cs="Times New Roman"/>
          <w:color w:val="2E74B5" w:themeColor="accent1" w:themeShade="BF"/>
          <w:sz w:val="24"/>
          <w:szCs w:val="24"/>
          <w:lang w:eastAsia="fr-FR"/>
        </w:rPr>
        <w:t>Analyse globale de l’évolution du volume d’activité dans le secteur du commerce</w:t>
      </w:r>
      <w:bookmarkEnd w:id="17"/>
    </w:p>
    <w:p w14:paraId="47D1F49C" w14:textId="4D96B719" w:rsidR="00F27F45" w:rsidRPr="00F27F45" w:rsidRDefault="00F27F45" w:rsidP="00F27F45">
      <w:pPr>
        <w:spacing w:line="360" w:lineRule="auto"/>
        <w:jc w:val="both"/>
        <w:rPr>
          <w:rFonts w:ascii="Times New Roman" w:eastAsiaTheme="minorEastAsia" w:hAnsi="Times New Roman" w:cs="Times New Roman"/>
          <w:sz w:val="24"/>
          <w:szCs w:val="24"/>
          <w:lang w:eastAsia="fr-FR"/>
        </w:rPr>
      </w:pPr>
      <w:bookmarkStart w:id="18" w:name="_Toc4687161"/>
      <w:bookmarkStart w:id="19" w:name="_Toc4747542"/>
      <w:bookmarkStart w:id="20" w:name="_Toc4748554"/>
      <w:bookmarkStart w:id="21" w:name="_Toc4757513"/>
      <w:r w:rsidRPr="00F27F45">
        <w:rPr>
          <w:rFonts w:ascii="Times New Roman" w:eastAsiaTheme="minorEastAsia" w:hAnsi="Times New Roman" w:cs="Times New Roman"/>
          <w:sz w:val="24"/>
          <w:szCs w:val="24"/>
          <w:lang w:eastAsia="fr-FR"/>
        </w:rPr>
        <w:t>Comparativement à la même période de 2022</w:t>
      </w:r>
      <w:r w:rsidR="008868C3">
        <w:rPr>
          <w:rFonts w:ascii="Times New Roman" w:eastAsiaTheme="minorEastAsia" w:hAnsi="Times New Roman" w:cs="Times New Roman"/>
          <w:sz w:val="24"/>
          <w:szCs w:val="24"/>
          <w:lang w:eastAsia="fr-FR"/>
        </w:rPr>
        <w:t>,</w:t>
      </w:r>
      <w:r w:rsidRPr="00F27F45">
        <w:rPr>
          <w:rFonts w:ascii="Times New Roman" w:eastAsiaTheme="minorEastAsia" w:hAnsi="Times New Roman" w:cs="Times New Roman"/>
          <w:sz w:val="24"/>
          <w:szCs w:val="24"/>
          <w:lang w:eastAsia="fr-FR"/>
        </w:rPr>
        <w:t xml:space="preserve"> le secteur du commerce au Burundi a été marquée par une </w:t>
      </w:r>
      <w:r w:rsidR="008868C3">
        <w:rPr>
          <w:rFonts w:ascii="Times New Roman" w:eastAsiaTheme="minorEastAsia" w:hAnsi="Times New Roman" w:cs="Times New Roman"/>
          <w:sz w:val="24"/>
          <w:szCs w:val="24"/>
          <w:lang w:eastAsia="fr-FR"/>
        </w:rPr>
        <w:t xml:space="preserve">croissance négative de </w:t>
      </w:r>
      <w:r w:rsidR="00E375D1">
        <w:rPr>
          <w:rFonts w:ascii="Times New Roman" w:eastAsiaTheme="minorEastAsia" w:hAnsi="Times New Roman" w:cs="Times New Roman"/>
          <w:sz w:val="24"/>
          <w:szCs w:val="24"/>
          <w:lang w:eastAsia="fr-FR"/>
        </w:rPr>
        <w:t>23</w:t>
      </w:r>
      <w:r w:rsidR="008868C3">
        <w:rPr>
          <w:rFonts w:ascii="Times New Roman" w:eastAsiaTheme="minorEastAsia" w:hAnsi="Times New Roman" w:cs="Times New Roman"/>
          <w:sz w:val="24"/>
          <w:szCs w:val="24"/>
          <w:lang w:eastAsia="fr-FR"/>
        </w:rPr>
        <w:t>.3</w:t>
      </w:r>
      <w:r w:rsidRPr="00F27F45">
        <w:rPr>
          <w:rFonts w:ascii="Times New Roman" w:eastAsiaTheme="minorEastAsia" w:hAnsi="Times New Roman" w:cs="Times New Roman"/>
          <w:sz w:val="24"/>
          <w:szCs w:val="24"/>
          <w:lang w:eastAsia="fr-FR"/>
        </w:rPr>
        <w:t>% au premier trimestre 202</w:t>
      </w:r>
      <w:r w:rsidR="008868C3">
        <w:rPr>
          <w:rFonts w:ascii="Times New Roman" w:eastAsiaTheme="minorEastAsia" w:hAnsi="Times New Roman" w:cs="Times New Roman"/>
          <w:sz w:val="24"/>
          <w:szCs w:val="24"/>
          <w:lang w:eastAsia="fr-FR"/>
        </w:rPr>
        <w:t>3</w:t>
      </w:r>
      <w:r w:rsidRPr="00F27F45">
        <w:rPr>
          <w:rFonts w:ascii="Times New Roman" w:eastAsiaTheme="minorEastAsia" w:hAnsi="Times New Roman" w:cs="Times New Roman"/>
          <w:sz w:val="24"/>
          <w:szCs w:val="24"/>
          <w:lang w:eastAsia="fr-FR"/>
        </w:rPr>
        <w:t xml:space="preserve">.cela est due à La branche du </w:t>
      </w:r>
      <w:r w:rsidR="008868C3" w:rsidRPr="00F27F45">
        <w:rPr>
          <w:rFonts w:ascii="Times New Roman" w:eastAsiaTheme="minorEastAsia" w:hAnsi="Times New Roman" w:cs="Times New Roman"/>
          <w:sz w:val="24"/>
          <w:szCs w:val="24"/>
          <w:lang w:eastAsia="fr-FR"/>
        </w:rPr>
        <w:t>commerce de gros</w:t>
      </w:r>
      <w:r w:rsidR="00E375D1">
        <w:rPr>
          <w:rFonts w:ascii="Times New Roman" w:eastAsiaTheme="minorEastAsia" w:hAnsi="Times New Roman" w:cs="Times New Roman"/>
          <w:sz w:val="24"/>
          <w:szCs w:val="24"/>
          <w:lang w:eastAsia="fr-FR"/>
        </w:rPr>
        <w:t xml:space="preserve"> et activités des intermédiaires</w:t>
      </w:r>
      <w:r w:rsidR="008868C3">
        <w:rPr>
          <w:rFonts w:ascii="Times New Roman" w:eastAsiaTheme="minorEastAsia" w:hAnsi="Times New Roman" w:cs="Times New Roman"/>
          <w:sz w:val="24"/>
          <w:szCs w:val="24"/>
          <w:lang w:eastAsia="fr-FR"/>
        </w:rPr>
        <w:t xml:space="preserve"> avec une croissance négative de </w:t>
      </w:r>
      <w:r w:rsidR="00E375D1">
        <w:rPr>
          <w:rFonts w:ascii="Times New Roman" w:eastAsiaTheme="minorEastAsia" w:hAnsi="Times New Roman" w:cs="Times New Roman"/>
          <w:sz w:val="24"/>
          <w:szCs w:val="24"/>
          <w:lang w:eastAsia="fr-FR"/>
        </w:rPr>
        <w:t>21</w:t>
      </w:r>
      <w:r w:rsidR="008868C3">
        <w:rPr>
          <w:rFonts w:ascii="Times New Roman" w:eastAsiaTheme="minorEastAsia" w:hAnsi="Times New Roman" w:cs="Times New Roman"/>
          <w:sz w:val="24"/>
          <w:szCs w:val="24"/>
          <w:lang w:eastAsia="fr-FR"/>
        </w:rPr>
        <w:t>.</w:t>
      </w:r>
      <w:r w:rsidR="00E375D1">
        <w:rPr>
          <w:rFonts w:ascii="Times New Roman" w:eastAsiaTheme="minorEastAsia" w:hAnsi="Times New Roman" w:cs="Times New Roman"/>
          <w:sz w:val="24"/>
          <w:szCs w:val="24"/>
          <w:lang w:eastAsia="fr-FR"/>
        </w:rPr>
        <w:t>9</w:t>
      </w:r>
      <w:r w:rsidR="008868C3">
        <w:rPr>
          <w:rFonts w:ascii="Times New Roman" w:eastAsiaTheme="minorEastAsia" w:hAnsi="Times New Roman" w:cs="Times New Roman"/>
          <w:sz w:val="24"/>
          <w:szCs w:val="24"/>
          <w:lang w:eastAsia="fr-FR"/>
        </w:rPr>
        <w:t xml:space="preserve">% suivis par le commerce </w:t>
      </w:r>
      <w:r w:rsidR="008868C3" w:rsidRPr="00F27F45">
        <w:rPr>
          <w:rFonts w:ascii="Times New Roman" w:eastAsiaTheme="minorEastAsia" w:hAnsi="Times New Roman" w:cs="Times New Roman"/>
          <w:sz w:val="24"/>
          <w:szCs w:val="24"/>
          <w:lang w:eastAsia="fr-FR"/>
        </w:rPr>
        <w:t>des</w:t>
      </w:r>
      <w:r w:rsidRPr="00F27F45">
        <w:rPr>
          <w:rFonts w:ascii="Times New Roman" w:eastAsiaTheme="minorEastAsia" w:hAnsi="Times New Roman" w:cs="Times New Roman"/>
          <w:sz w:val="24"/>
          <w:szCs w:val="24"/>
          <w:lang w:eastAsia="fr-FR"/>
        </w:rPr>
        <w:t xml:space="preserve"> produits pétroliers </w:t>
      </w:r>
      <w:r w:rsidR="008868C3">
        <w:rPr>
          <w:rFonts w:ascii="Times New Roman" w:eastAsiaTheme="minorEastAsia" w:hAnsi="Times New Roman" w:cs="Times New Roman"/>
          <w:sz w:val="24"/>
          <w:szCs w:val="24"/>
          <w:lang w:eastAsia="fr-FR"/>
        </w:rPr>
        <w:t xml:space="preserve">avec une diminution puis le commerce </w:t>
      </w:r>
      <w:r w:rsidRPr="00F27F45">
        <w:rPr>
          <w:rFonts w:ascii="Times New Roman" w:eastAsiaTheme="minorEastAsia" w:hAnsi="Times New Roman" w:cs="Times New Roman"/>
          <w:sz w:val="24"/>
          <w:szCs w:val="24"/>
          <w:lang w:eastAsia="fr-FR"/>
        </w:rPr>
        <w:t>de</w:t>
      </w:r>
      <w:r w:rsidR="00E375D1">
        <w:rPr>
          <w:rFonts w:ascii="Times New Roman" w:eastAsiaTheme="minorEastAsia" w:hAnsi="Times New Roman" w:cs="Times New Roman"/>
          <w:sz w:val="24"/>
          <w:szCs w:val="24"/>
          <w:lang w:eastAsia="fr-FR"/>
        </w:rPr>
        <w:t xml:space="preserve"> </w:t>
      </w:r>
      <w:r w:rsidR="008868C3">
        <w:rPr>
          <w:rFonts w:ascii="Times New Roman" w:eastAsiaTheme="minorEastAsia" w:hAnsi="Times New Roman" w:cs="Times New Roman"/>
          <w:sz w:val="24"/>
          <w:szCs w:val="24"/>
          <w:lang w:eastAsia="fr-FR"/>
        </w:rPr>
        <w:t>17</w:t>
      </w:r>
      <w:r w:rsidRPr="00F27F45">
        <w:rPr>
          <w:rFonts w:ascii="Times New Roman" w:eastAsiaTheme="minorEastAsia" w:hAnsi="Times New Roman" w:cs="Times New Roman"/>
          <w:sz w:val="24"/>
          <w:szCs w:val="24"/>
          <w:lang w:eastAsia="fr-FR"/>
        </w:rPr>
        <w:t>.</w:t>
      </w:r>
      <w:r w:rsidR="008868C3">
        <w:rPr>
          <w:rFonts w:ascii="Times New Roman" w:eastAsiaTheme="minorEastAsia" w:hAnsi="Times New Roman" w:cs="Times New Roman"/>
          <w:sz w:val="24"/>
          <w:szCs w:val="24"/>
          <w:lang w:eastAsia="fr-FR"/>
        </w:rPr>
        <w:t>1</w:t>
      </w:r>
      <w:r w:rsidRPr="00F27F45">
        <w:rPr>
          <w:rFonts w:ascii="Times New Roman" w:eastAsiaTheme="minorEastAsia" w:hAnsi="Times New Roman" w:cs="Times New Roman"/>
          <w:sz w:val="24"/>
          <w:szCs w:val="24"/>
          <w:lang w:eastAsia="fr-FR"/>
        </w:rPr>
        <w:t xml:space="preserve">% </w:t>
      </w:r>
      <w:r w:rsidR="008868C3">
        <w:rPr>
          <w:rFonts w:ascii="Times New Roman" w:eastAsiaTheme="minorEastAsia" w:hAnsi="Times New Roman" w:cs="Times New Roman"/>
          <w:sz w:val="24"/>
          <w:szCs w:val="24"/>
          <w:lang w:eastAsia="fr-FR"/>
        </w:rPr>
        <w:t>puis le commerce de détail avec une diminution de 0.</w:t>
      </w:r>
      <w:r w:rsidR="00E375D1">
        <w:rPr>
          <w:rFonts w:ascii="Times New Roman" w:eastAsiaTheme="minorEastAsia" w:hAnsi="Times New Roman" w:cs="Times New Roman"/>
          <w:sz w:val="24"/>
          <w:szCs w:val="24"/>
          <w:lang w:eastAsia="fr-FR"/>
        </w:rPr>
        <w:t>9</w:t>
      </w:r>
      <w:r w:rsidR="008868C3">
        <w:rPr>
          <w:rFonts w:ascii="Times New Roman" w:eastAsiaTheme="minorEastAsia" w:hAnsi="Times New Roman" w:cs="Times New Roman"/>
          <w:sz w:val="24"/>
          <w:szCs w:val="24"/>
          <w:lang w:eastAsia="fr-FR"/>
        </w:rPr>
        <w:t>%</w:t>
      </w:r>
      <w:r w:rsidR="00E375D1">
        <w:rPr>
          <w:rFonts w:ascii="Times New Roman" w:eastAsiaTheme="minorEastAsia" w:hAnsi="Times New Roman" w:cs="Times New Roman"/>
          <w:sz w:val="24"/>
          <w:szCs w:val="24"/>
          <w:lang w:eastAsia="fr-FR"/>
        </w:rPr>
        <w:t xml:space="preserve"> et le commerce et réparation d’automobiles et de motocycles.</w:t>
      </w:r>
      <w:r w:rsidR="008868C3">
        <w:rPr>
          <w:rFonts w:ascii="Times New Roman" w:eastAsiaTheme="minorEastAsia" w:hAnsi="Times New Roman" w:cs="Times New Roman"/>
          <w:sz w:val="24"/>
          <w:szCs w:val="24"/>
          <w:lang w:eastAsia="fr-FR"/>
        </w:rPr>
        <w:t xml:space="preserve"> </w:t>
      </w:r>
      <w:r w:rsidR="005B63B3">
        <w:rPr>
          <w:rFonts w:ascii="Times New Roman" w:eastAsiaTheme="minorEastAsia" w:hAnsi="Times New Roman" w:cs="Times New Roman"/>
          <w:sz w:val="24"/>
          <w:szCs w:val="24"/>
          <w:lang w:eastAsia="fr-FR"/>
        </w:rPr>
        <w:t>Le seul secteur</w:t>
      </w:r>
      <w:r w:rsidR="00E375D1">
        <w:rPr>
          <w:rFonts w:ascii="Times New Roman" w:eastAsiaTheme="minorEastAsia" w:hAnsi="Times New Roman" w:cs="Times New Roman"/>
          <w:sz w:val="24"/>
          <w:szCs w:val="24"/>
          <w:lang w:eastAsia="fr-FR"/>
        </w:rPr>
        <w:t xml:space="preserve"> qui </w:t>
      </w:r>
      <w:r w:rsidR="005B63B3">
        <w:rPr>
          <w:rFonts w:ascii="Times New Roman" w:eastAsiaTheme="minorEastAsia" w:hAnsi="Times New Roman" w:cs="Times New Roman"/>
          <w:sz w:val="24"/>
          <w:szCs w:val="24"/>
          <w:lang w:eastAsia="fr-FR"/>
        </w:rPr>
        <w:t>a</w:t>
      </w:r>
      <w:r w:rsidR="00E375D1">
        <w:rPr>
          <w:rFonts w:ascii="Times New Roman" w:eastAsiaTheme="minorEastAsia" w:hAnsi="Times New Roman" w:cs="Times New Roman"/>
          <w:sz w:val="24"/>
          <w:szCs w:val="24"/>
          <w:lang w:eastAsia="fr-FR"/>
        </w:rPr>
        <w:t xml:space="preserve"> connu une augmentation est celle </w:t>
      </w:r>
      <w:r w:rsidR="008868C3">
        <w:rPr>
          <w:rFonts w:ascii="Times New Roman" w:eastAsiaTheme="minorEastAsia" w:hAnsi="Times New Roman" w:cs="Times New Roman"/>
          <w:sz w:val="24"/>
          <w:szCs w:val="24"/>
          <w:lang w:eastAsia="fr-FR"/>
        </w:rPr>
        <w:t xml:space="preserve">du commerce de produits pharmaceutique de 2.3% </w:t>
      </w:r>
    </w:p>
    <w:p w14:paraId="5CA1F0B8" w14:textId="17995C99" w:rsidR="00F27F45" w:rsidRPr="00F27F45" w:rsidRDefault="00F27F45" w:rsidP="00F27F45">
      <w:pPr>
        <w:spacing w:line="360" w:lineRule="auto"/>
        <w:jc w:val="both"/>
        <w:rPr>
          <w:rFonts w:ascii="Times New Roman" w:eastAsiaTheme="minorEastAsia" w:hAnsi="Times New Roman" w:cs="Times New Roman"/>
          <w:sz w:val="24"/>
          <w:szCs w:val="24"/>
          <w:lang w:eastAsia="fr-FR"/>
        </w:rPr>
      </w:pPr>
      <w:r w:rsidRPr="00F27F45">
        <w:rPr>
          <w:rFonts w:ascii="Times New Roman" w:eastAsiaTheme="minorEastAsia" w:hAnsi="Times New Roman" w:cs="Times New Roman"/>
          <w:sz w:val="24"/>
          <w:szCs w:val="24"/>
          <w:lang w:eastAsia="fr-FR"/>
        </w:rPr>
        <w:t xml:space="preserve">Signalons que l’indice du chiffre </w:t>
      </w:r>
      <w:r w:rsidR="00E375D1" w:rsidRPr="00F27F45">
        <w:rPr>
          <w:rFonts w:ascii="Times New Roman" w:eastAsiaTheme="minorEastAsia" w:hAnsi="Times New Roman" w:cs="Times New Roman"/>
          <w:sz w:val="24"/>
          <w:szCs w:val="24"/>
          <w:lang w:eastAsia="fr-FR"/>
        </w:rPr>
        <w:t>d’affaires</w:t>
      </w:r>
      <w:r w:rsidRPr="00F27F45">
        <w:rPr>
          <w:rFonts w:ascii="Times New Roman" w:eastAsiaTheme="minorEastAsia" w:hAnsi="Times New Roman" w:cs="Times New Roman"/>
          <w:sz w:val="24"/>
          <w:szCs w:val="24"/>
          <w:lang w:eastAsia="fr-FR"/>
        </w:rPr>
        <w:t xml:space="preserve"> que nous interprétons ici est un indice de valeur et non de volume ; il présente ainsi une limite du fait qu’il n’est pas déflaté par l’effet prix, nous analysons les chiffres d’affaires sujets aux fluctuations des prix. Donc cette baisse du taux de croissance serait expliquée par la baisse généralisé des prix (l’inflation).</w:t>
      </w:r>
    </w:p>
    <w:p w14:paraId="4B9C99D6" w14:textId="77777777" w:rsidR="00F27F45" w:rsidRPr="00F27F45" w:rsidRDefault="00F27F45" w:rsidP="00F27F45">
      <w:pPr>
        <w:spacing w:line="240" w:lineRule="auto"/>
        <w:rPr>
          <w:rFonts w:asciiTheme="majorHAnsi" w:eastAsiaTheme="minorEastAsia" w:hAnsiTheme="majorHAnsi" w:cstheme="majorHAnsi"/>
          <w:b/>
          <w:iCs/>
          <w:color w:val="44546A" w:themeColor="text2"/>
          <w:sz w:val="20"/>
          <w:szCs w:val="20"/>
          <w:lang w:eastAsia="fr-FR"/>
        </w:rPr>
      </w:pPr>
      <w:bookmarkStart w:id="22" w:name="_Toc136004713"/>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1</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lang w:eastAsia="fr-FR"/>
        </w:rPr>
        <w:t>: Evolution de l'Indice du chiffre d'affaires de T1-2018 à T1-2023 (Volet commerce</w:t>
      </w:r>
      <w:r w:rsidRPr="00F27F45">
        <w:rPr>
          <w:rFonts w:asciiTheme="majorHAnsi" w:eastAsiaTheme="minorEastAsia" w:hAnsiTheme="majorHAnsi" w:cstheme="majorHAnsi"/>
          <w:b/>
          <w:i/>
          <w:iCs/>
          <w:color w:val="44546A" w:themeColor="text2"/>
          <w:sz w:val="20"/>
          <w:szCs w:val="20"/>
          <w:lang w:eastAsia="fr-FR"/>
        </w:rPr>
        <w:t>)</w:t>
      </w:r>
      <w:bookmarkStart w:id="23" w:name="_Hlk4750448"/>
      <w:bookmarkEnd w:id="18"/>
      <w:bookmarkEnd w:id="19"/>
      <w:bookmarkEnd w:id="20"/>
      <w:bookmarkEnd w:id="21"/>
      <w:bookmarkEnd w:id="22"/>
    </w:p>
    <w:p w14:paraId="51C67C29" w14:textId="43E6F333" w:rsidR="00F27F45" w:rsidRPr="00F27F45" w:rsidRDefault="00D501E6" w:rsidP="00F27F45">
      <w:pPr>
        <w:rPr>
          <w:rFonts w:eastAsiaTheme="minorEastAsia"/>
          <w:lang w:eastAsia="fr-FR"/>
        </w:rPr>
      </w:pPr>
      <w:r>
        <w:rPr>
          <w:noProof/>
          <w:lang w:eastAsia="fr-FR"/>
        </w:rPr>
        <w:drawing>
          <wp:inline distT="0" distB="0" distL="0" distR="0" wp14:anchorId="0E0CB5B6" wp14:editId="28CBBA1E">
            <wp:extent cx="5324474" cy="3057525"/>
            <wp:effectExtent l="0" t="0" r="10160" b="9525"/>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6960D6E"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bookmarkEnd w:id="23"/>
    </w:p>
    <w:p w14:paraId="058E1B51" w14:textId="18BFBE69" w:rsidR="00F27F45" w:rsidRPr="00F27F45" w:rsidRDefault="00F27F45" w:rsidP="00F27F45">
      <w:pPr>
        <w:spacing w:line="360" w:lineRule="auto"/>
        <w:jc w:val="both"/>
        <w:rPr>
          <w:rFonts w:ascii="Times New Roman" w:eastAsiaTheme="minorEastAsia" w:hAnsi="Times New Roman" w:cs="Times New Roman"/>
          <w:color w:val="222222"/>
          <w:sz w:val="24"/>
          <w:szCs w:val="24"/>
          <w:shd w:val="clear" w:color="auto" w:fill="FFFFFF"/>
        </w:rPr>
      </w:pPr>
      <w:r w:rsidRPr="00F27F45">
        <w:rPr>
          <w:rFonts w:ascii="Times New Roman" w:eastAsiaTheme="minorEastAsia" w:hAnsi="Times New Roman" w:cs="Times New Roman"/>
          <w:color w:val="222222"/>
          <w:sz w:val="24"/>
          <w:szCs w:val="24"/>
          <w:shd w:val="clear" w:color="auto" w:fill="FFFFFF"/>
        </w:rPr>
        <w:t xml:space="preserve">L’activité pour cette sous branche présente une évolution de 2018 à 2019 tout en enregistrant des croissances surtout au cours de l’année 2019. Toutefois, il s’avère qu’au cours de l’année 2020, l’activité économique est marquée par des chutes des taux de croissances à partir du </w:t>
      </w:r>
      <w:r w:rsidRPr="00F27F45">
        <w:rPr>
          <w:rFonts w:ascii="Times New Roman" w:eastAsiaTheme="minorEastAsia" w:hAnsi="Times New Roman" w:cs="Times New Roman"/>
          <w:color w:val="222222"/>
          <w:sz w:val="24"/>
          <w:szCs w:val="24"/>
          <w:shd w:val="clear" w:color="auto" w:fill="FFFFFF"/>
        </w:rPr>
        <w:lastRenderedPageBreak/>
        <w:t xml:space="preserve">deuxième trimestre Ces décroissances </w:t>
      </w:r>
      <w:r w:rsidRPr="00F27F45">
        <w:rPr>
          <w:rFonts w:ascii="Times New Roman" w:eastAsiaTheme="minorEastAsia" w:hAnsi="Times New Roman" w:cs="Times New Roman"/>
          <w:sz w:val="24"/>
          <w:szCs w:val="24"/>
          <w:lang w:eastAsia="fr-FR"/>
        </w:rPr>
        <w:t xml:space="preserve">s’exprimeraient par l’impact du covid_19 qui a sans doute touché le tissu économique de notre pays tout en reprenant sa croissance dès l’année 2021 en enregistrant des chutes au cours du quatrième trimestre 2021, du </w:t>
      </w:r>
      <w:r w:rsidR="008868C3">
        <w:rPr>
          <w:rFonts w:ascii="Times New Roman" w:eastAsiaTheme="minorEastAsia" w:hAnsi="Times New Roman" w:cs="Times New Roman"/>
          <w:sz w:val="24"/>
          <w:szCs w:val="24"/>
          <w:lang w:eastAsia="fr-FR"/>
        </w:rPr>
        <w:t xml:space="preserve">quatrième </w:t>
      </w:r>
      <w:r w:rsidRPr="00F27F45">
        <w:rPr>
          <w:rFonts w:ascii="Times New Roman" w:eastAsiaTheme="minorEastAsia" w:hAnsi="Times New Roman" w:cs="Times New Roman"/>
          <w:sz w:val="24"/>
          <w:szCs w:val="24"/>
          <w:lang w:eastAsia="fr-FR"/>
        </w:rPr>
        <w:t>trimestre 2022 et</w:t>
      </w:r>
      <w:r w:rsidR="008868C3">
        <w:rPr>
          <w:rFonts w:ascii="Times New Roman" w:eastAsiaTheme="minorEastAsia" w:hAnsi="Times New Roman" w:cs="Times New Roman"/>
          <w:sz w:val="24"/>
          <w:szCs w:val="24"/>
          <w:lang w:eastAsia="fr-FR"/>
        </w:rPr>
        <w:t xml:space="preserve"> remonte un peu </w:t>
      </w:r>
      <w:r w:rsidR="008868C3" w:rsidRPr="00F27F45">
        <w:rPr>
          <w:rFonts w:ascii="Times New Roman" w:eastAsiaTheme="minorEastAsia" w:hAnsi="Times New Roman" w:cs="Times New Roman"/>
          <w:sz w:val="24"/>
          <w:szCs w:val="24"/>
          <w:lang w:eastAsia="fr-FR"/>
        </w:rPr>
        <w:t>du</w:t>
      </w:r>
      <w:r w:rsidR="008868C3">
        <w:rPr>
          <w:rFonts w:ascii="Times New Roman" w:eastAsiaTheme="minorEastAsia" w:hAnsi="Times New Roman" w:cs="Times New Roman"/>
          <w:sz w:val="24"/>
          <w:szCs w:val="24"/>
          <w:lang w:eastAsia="fr-FR"/>
        </w:rPr>
        <w:t xml:space="preserve"> premier </w:t>
      </w:r>
      <w:r w:rsidR="008868C3" w:rsidRPr="00F27F45">
        <w:rPr>
          <w:rFonts w:ascii="Times New Roman" w:eastAsiaTheme="minorEastAsia" w:hAnsi="Times New Roman" w:cs="Times New Roman"/>
          <w:sz w:val="24"/>
          <w:szCs w:val="24"/>
          <w:lang w:eastAsia="fr-FR"/>
        </w:rPr>
        <w:t>trimestre</w:t>
      </w:r>
      <w:r w:rsidRPr="00F27F45">
        <w:rPr>
          <w:rFonts w:ascii="Times New Roman" w:eastAsiaTheme="minorEastAsia" w:hAnsi="Times New Roman" w:cs="Times New Roman"/>
          <w:sz w:val="24"/>
          <w:szCs w:val="24"/>
          <w:lang w:eastAsia="fr-FR"/>
        </w:rPr>
        <w:t xml:space="preserve"> 202</w:t>
      </w:r>
      <w:r w:rsidR="008868C3">
        <w:rPr>
          <w:rFonts w:ascii="Times New Roman" w:eastAsiaTheme="minorEastAsia" w:hAnsi="Times New Roman" w:cs="Times New Roman"/>
          <w:sz w:val="24"/>
          <w:szCs w:val="24"/>
          <w:lang w:eastAsia="fr-FR"/>
        </w:rPr>
        <w:t>3</w:t>
      </w:r>
      <w:r w:rsidRPr="00F27F45">
        <w:rPr>
          <w:rFonts w:ascii="Times New Roman" w:eastAsiaTheme="minorEastAsia" w:hAnsi="Times New Roman" w:cs="Times New Roman"/>
          <w:sz w:val="24"/>
          <w:szCs w:val="24"/>
          <w:lang w:eastAsia="fr-FR"/>
        </w:rPr>
        <w:t>. Ces baisses observées s’expliqueraient par la pénurie du carburant qui rend difficile le transport en général et par conséquent l’approvisionnement des produits qui deviennent rares sur le marché</w:t>
      </w:r>
      <w:r w:rsidR="008868C3">
        <w:rPr>
          <w:rFonts w:ascii="Times New Roman" w:eastAsiaTheme="minorEastAsia" w:hAnsi="Times New Roman" w:cs="Times New Roman"/>
          <w:sz w:val="24"/>
          <w:szCs w:val="24"/>
          <w:lang w:eastAsia="fr-FR"/>
        </w:rPr>
        <w:t>.</w:t>
      </w:r>
    </w:p>
    <w:p w14:paraId="37BAAA8C" w14:textId="77777777" w:rsidR="00F27F45" w:rsidRPr="00F27F45" w:rsidRDefault="00F27F45" w:rsidP="00F27F45">
      <w:pPr>
        <w:spacing w:line="360" w:lineRule="auto"/>
        <w:jc w:val="both"/>
        <w:rPr>
          <w:rFonts w:ascii="Times New Roman" w:eastAsiaTheme="minorEastAsia" w:hAnsi="Times New Roman" w:cs="Times New Roman"/>
          <w:color w:val="222222"/>
          <w:sz w:val="24"/>
          <w:szCs w:val="24"/>
          <w:shd w:val="clear" w:color="auto" w:fill="FFFFFF"/>
        </w:rPr>
      </w:pPr>
    </w:p>
    <w:p w14:paraId="0F2D9893" w14:textId="0E3BEE60" w:rsidR="00F27F45" w:rsidRPr="00F27F45" w:rsidRDefault="005B63B3" w:rsidP="00F27F45">
      <w:pPr>
        <w:keepNext/>
        <w:keepLines/>
        <w:spacing w:before="40" w:after="0" w:line="480" w:lineRule="auto"/>
        <w:outlineLvl w:val="1"/>
        <w:rPr>
          <w:rFonts w:ascii="Times New Roman" w:eastAsiaTheme="majorEastAsia" w:hAnsi="Times New Roman" w:cs="Times New Roman"/>
          <w:color w:val="2E74B5" w:themeColor="accent1" w:themeShade="BF"/>
          <w:sz w:val="24"/>
          <w:szCs w:val="24"/>
          <w:lang w:eastAsia="fr-FR"/>
        </w:rPr>
      </w:pPr>
      <w:bookmarkStart w:id="24" w:name="_Toc530553253"/>
      <w:bookmarkStart w:id="25" w:name="_Toc136004692"/>
      <w:r>
        <w:rPr>
          <w:rFonts w:ascii="Times New Roman" w:eastAsiaTheme="majorEastAsia" w:hAnsi="Times New Roman" w:cs="Times New Roman"/>
          <w:color w:val="2E74B5" w:themeColor="accent1" w:themeShade="BF"/>
          <w:sz w:val="24"/>
          <w:szCs w:val="24"/>
          <w:lang w:eastAsia="fr-FR"/>
        </w:rPr>
        <w:t xml:space="preserve">                          </w:t>
      </w:r>
      <w:r w:rsidR="00F27F45" w:rsidRPr="00F27F45">
        <w:rPr>
          <w:rFonts w:ascii="Times New Roman" w:eastAsiaTheme="majorEastAsia" w:hAnsi="Times New Roman" w:cs="Times New Roman"/>
          <w:color w:val="2E74B5" w:themeColor="accent1" w:themeShade="BF"/>
          <w:sz w:val="24"/>
          <w:szCs w:val="24"/>
          <w:lang w:eastAsia="fr-FR"/>
        </w:rPr>
        <w:t>II.2. Analyse sectorielle de l’évolution du volume d’activité</w:t>
      </w:r>
      <w:bookmarkEnd w:id="24"/>
      <w:r w:rsidR="00F27F45" w:rsidRPr="00F27F45">
        <w:rPr>
          <w:rFonts w:ascii="Times New Roman" w:eastAsiaTheme="majorEastAsia" w:hAnsi="Times New Roman" w:cs="Times New Roman"/>
          <w:color w:val="2E74B5" w:themeColor="accent1" w:themeShade="BF"/>
          <w:sz w:val="24"/>
          <w:szCs w:val="24"/>
          <w:lang w:eastAsia="fr-FR"/>
        </w:rPr>
        <w:t xml:space="preserve"> (Volet commerce).</w:t>
      </w:r>
      <w:bookmarkEnd w:id="25"/>
    </w:p>
    <w:p w14:paraId="6342FF77"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lang w:eastAsia="fr-FR"/>
        </w:rPr>
      </w:pPr>
      <w:bookmarkStart w:id="26" w:name="_Toc136004693"/>
      <w:r w:rsidRPr="00F27F45">
        <w:rPr>
          <w:rFonts w:ascii="Times New Roman" w:eastAsiaTheme="majorEastAsia" w:hAnsi="Times New Roman" w:cs="Times New Roman"/>
          <w:color w:val="1F4D78" w:themeColor="accent1" w:themeShade="7F"/>
          <w:sz w:val="24"/>
          <w:szCs w:val="24"/>
          <w:lang w:eastAsia="fr-FR"/>
        </w:rPr>
        <w:t>II.2.1 Commerce et réparation d’automobiles et de motocycles</w:t>
      </w:r>
      <w:bookmarkEnd w:id="26"/>
    </w:p>
    <w:p w14:paraId="1C4F5DB0" w14:textId="6FAE73B0" w:rsidR="00F27F45" w:rsidRPr="00F27F45" w:rsidRDefault="00F27F45" w:rsidP="00F27F45">
      <w:pPr>
        <w:spacing w:line="360" w:lineRule="auto"/>
        <w:jc w:val="both"/>
        <w:rPr>
          <w:rFonts w:ascii="Times New Roman" w:eastAsiaTheme="minorEastAsia" w:hAnsi="Times New Roman" w:cs="Times New Roman"/>
          <w:color w:val="222222"/>
          <w:sz w:val="24"/>
          <w:szCs w:val="24"/>
          <w:shd w:val="clear" w:color="auto" w:fill="FFFFFF"/>
        </w:rPr>
      </w:pPr>
      <w:r w:rsidRPr="00F27F45">
        <w:rPr>
          <w:rFonts w:ascii="Times New Roman" w:eastAsiaTheme="minorEastAsia" w:hAnsi="Times New Roman" w:cs="Times New Roman"/>
          <w:color w:val="222222"/>
          <w:sz w:val="24"/>
          <w:szCs w:val="24"/>
          <w:shd w:val="clear" w:color="auto" w:fill="FFFFFF"/>
        </w:rPr>
        <w:t xml:space="preserve">Le commerce et la réparation des véhicules automobiles et de motocycles au cours du premier trimestre 2023 s’est caractérisé par une </w:t>
      </w:r>
      <w:r w:rsidR="008868C3">
        <w:rPr>
          <w:rFonts w:ascii="Times New Roman" w:eastAsiaTheme="minorEastAsia" w:hAnsi="Times New Roman" w:cs="Times New Roman"/>
          <w:color w:val="222222"/>
          <w:sz w:val="24"/>
          <w:szCs w:val="24"/>
          <w:shd w:val="clear" w:color="auto" w:fill="FFFFFF"/>
        </w:rPr>
        <w:t xml:space="preserve">légère croissance </w:t>
      </w:r>
      <w:r w:rsidR="005B63B3">
        <w:rPr>
          <w:rFonts w:ascii="Times New Roman" w:eastAsiaTheme="minorEastAsia" w:hAnsi="Times New Roman" w:cs="Times New Roman"/>
          <w:color w:val="222222"/>
          <w:sz w:val="24"/>
          <w:szCs w:val="24"/>
          <w:shd w:val="clear" w:color="auto" w:fill="FFFFFF"/>
        </w:rPr>
        <w:t xml:space="preserve">négative </w:t>
      </w:r>
      <w:r w:rsidR="008868C3">
        <w:rPr>
          <w:rFonts w:ascii="Times New Roman" w:eastAsiaTheme="minorEastAsia" w:hAnsi="Times New Roman" w:cs="Times New Roman"/>
          <w:color w:val="222222"/>
          <w:sz w:val="24"/>
          <w:szCs w:val="24"/>
          <w:shd w:val="clear" w:color="auto" w:fill="FFFFFF"/>
        </w:rPr>
        <w:t xml:space="preserve">de </w:t>
      </w:r>
      <w:r w:rsidRPr="00F27F45">
        <w:rPr>
          <w:rFonts w:ascii="Times New Roman" w:eastAsiaTheme="minorEastAsia" w:hAnsi="Times New Roman" w:cs="Times New Roman"/>
          <w:color w:val="222222"/>
          <w:sz w:val="24"/>
          <w:szCs w:val="24"/>
          <w:shd w:val="clear" w:color="auto" w:fill="FFFFFF"/>
        </w:rPr>
        <w:t>0,</w:t>
      </w:r>
      <w:r w:rsidR="005B63B3">
        <w:rPr>
          <w:rFonts w:ascii="Times New Roman" w:eastAsiaTheme="minorEastAsia" w:hAnsi="Times New Roman" w:cs="Times New Roman"/>
          <w:color w:val="222222"/>
          <w:sz w:val="24"/>
          <w:szCs w:val="24"/>
          <w:shd w:val="clear" w:color="auto" w:fill="FFFFFF"/>
        </w:rPr>
        <w:t>5</w:t>
      </w:r>
      <w:r w:rsidRPr="00F27F45">
        <w:rPr>
          <w:rFonts w:ascii="Times New Roman" w:eastAsiaTheme="minorEastAsia" w:hAnsi="Times New Roman" w:cs="Times New Roman"/>
          <w:color w:val="222222"/>
          <w:sz w:val="24"/>
          <w:szCs w:val="24"/>
          <w:shd w:val="clear" w:color="auto" w:fill="FFFFFF"/>
        </w:rPr>
        <w:t xml:space="preserve">% en comparaison avec le même trimestre de l’année 2022. En effet, il ressort que le commerce des véhicules automobiles a enregistré un taux de croissance de négatif de </w:t>
      </w:r>
      <w:r w:rsidR="008868C3">
        <w:rPr>
          <w:rFonts w:ascii="Times New Roman" w:eastAsiaTheme="minorEastAsia" w:hAnsi="Times New Roman" w:cs="Times New Roman"/>
          <w:color w:val="222222"/>
          <w:sz w:val="24"/>
          <w:szCs w:val="24"/>
          <w:shd w:val="clear" w:color="auto" w:fill="FFFFFF"/>
        </w:rPr>
        <w:t>1.</w:t>
      </w:r>
      <w:r w:rsidR="005B63B3">
        <w:rPr>
          <w:rFonts w:ascii="Times New Roman" w:eastAsiaTheme="minorEastAsia" w:hAnsi="Times New Roman" w:cs="Times New Roman"/>
          <w:color w:val="222222"/>
          <w:sz w:val="24"/>
          <w:szCs w:val="24"/>
          <w:shd w:val="clear" w:color="auto" w:fill="FFFFFF"/>
        </w:rPr>
        <w:t>2</w:t>
      </w:r>
      <w:r w:rsidRPr="00F27F45">
        <w:rPr>
          <w:rFonts w:ascii="Times New Roman" w:eastAsiaTheme="minorEastAsia" w:hAnsi="Times New Roman" w:cs="Times New Roman"/>
          <w:color w:val="222222"/>
          <w:sz w:val="24"/>
          <w:szCs w:val="24"/>
          <w:shd w:val="clear" w:color="auto" w:fill="FFFFFF"/>
        </w:rPr>
        <w:t xml:space="preserve">%, </w:t>
      </w:r>
      <w:r w:rsidR="008868C3">
        <w:rPr>
          <w:rFonts w:ascii="Times New Roman" w:eastAsiaTheme="minorEastAsia" w:hAnsi="Times New Roman" w:cs="Times New Roman"/>
          <w:color w:val="222222"/>
          <w:sz w:val="24"/>
          <w:szCs w:val="24"/>
          <w:shd w:val="clear" w:color="auto" w:fill="FFFFFF"/>
        </w:rPr>
        <w:t>suivis par la branche de commerce des pièces détachées et accessoires automobiles avec une diminution de 0.</w:t>
      </w:r>
      <w:r w:rsidR="005B63B3">
        <w:rPr>
          <w:rFonts w:ascii="Times New Roman" w:eastAsiaTheme="minorEastAsia" w:hAnsi="Times New Roman" w:cs="Times New Roman"/>
          <w:color w:val="222222"/>
          <w:sz w:val="24"/>
          <w:szCs w:val="24"/>
          <w:shd w:val="clear" w:color="auto" w:fill="FFFFFF"/>
        </w:rPr>
        <w:t>4</w:t>
      </w:r>
      <w:r w:rsidR="008868C3">
        <w:rPr>
          <w:rFonts w:ascii="Times New Roman" w:eastAsiaTheme="minorEastAsia" w:hAnsi="Times New Roman" w:cs="Times New Roman"/>
          <w:color w:val="222222"/>
          <w:sz w:val="24"/>
          <w:szCs w:val="24"/>
          <w:shd w:val="clear" w:color="auto" w:fill="FFFFFF"/>
        </w:rPr>
        <w:t>% et celui du commerce l’</w:t>
      </w:r>
      <w:r w:rsidR="005B63B3">
        <w:rPr>
          <w:rFonts w:ascii="Times New Roman" w:eastAsiaTheme="minorEastAsia" w:hAnsi="Times New Roman" w:cs="Times New Roman"/>
          <w:color w:val="222222"/>
          <w:sz w:val="24"/>
          <w:szCs w:val="24"/>
          <w:shd w:val="clear" w:color="auto" w:fill="FFFFFF"/>
        </w:rPr>
        <w:t>entretien</w:t>
      </w:r>
      <w:r w:rsidR="008868C3">
        <w:rPr>
          <w:rFonts w:ascii="Times New Roman" w:eastAsiaTheme="minorEastAsia" w:hAnsi="Times New Roman" w:cs="Times New Roman"/>
          <w:color w:val="222222"/>
          <w:sz w:val="24"/>
          <w:szCs w:val="24"/>
          <w:shd w:val="clear" w:color="auto" w:fill="FFFFFF"/>
        </w:rPr>
        <w:t xml:space="preserve"> et réparation des véhicules automobiles avec une diminution de 0.</w:t>
      </w:r>
      <w:r w:rsidR="005B63B3">
        <w:rPr>
          <w:rFonts w:ascii="Times New Roman" w:eastAsiaTheme="minorEastAsia" w:hAnsi="Times New Roman" w:cs="Times New Roman"/>
          <w:color w:val="222222"/>
          <w:sz w:val="24"/>
          <w:szCs w:val="24"/>
          <w:shd w:val="clear" w:color="auto" w:fill="FFFFFF"/>
        </w:rPr>
        <w:t>3</w:t>
      </w:r>
      <w:r w:rsidR="008868C3">
        <w:rPr>
          <w:rFonts w:ascii="Times New Roman" w:eastAsiaTheme="minorEastAsia" w:hAnsi="Times New Roman" w:cs="Times New Roman"/>
          <w:color w:val="222222"/>
          <w:sz w:val="24"/>
          <w:szCs w:val="24"/>
          <w:shd w:val="clear" w:color="auto" w:fill="FFFFFF"/>
        </w:rPr>
        <w:t>% la seule branche de ce secteur qui a connu une croissance positive est celle du</w:t>
      </w:r>
      <w:r w:rsidRPr="00F27F45">
        <w:rPr>
          <w:rFonts w:ascii="Times New Roman" w:eastAsiaTheme="minorEastAsia" w:hAnsi="Times New Roman" w:cs="Times New Roman"/>
          <w:color w:val="222222"/>
          <w:sz w:val="24"/>
          <w:szCs w:val="24"/>
          <w:shd w:val="clear" w:color="auto" w:fill="FFFFFF"/>
        </w:rPr>
        <w:t xml:space="preserve"> commerce </w:t>
      </w:r>
      <w:r w:rsidR="008868C3">
        <w:rPr>
          <w:rFonts w:ascii="Times New Roman" w:eastAsiaTheme="minorEastAsia" w:hAnsi="Times New Roman" w:cs="Times New Roman"/>
          <w:color w:val="222222"/>
          <w:sz w:val="24"/>
          <w:szCs w:val="24"/>
          <w:shd w:val="clear" w:color="auto" w:fill="FFFFFF"/>
        </w:rPr>
        <w:t>et réparation des motocycles avec une croissance positive 1.</w:t>
      </w:r>
      <w:r w:rsidR="005B63B3">
        <w:rPr>
          <w:rFonts w:ascii="Times New Roman" w:eastAsiaTheme="minorEastAsia" w:hAnsi="Times New Roman" w:cs="Times New Roman"/>
          <w:color w:val="222222"/>
          <w:sz w:val="24"/>
          <w:szCs w:val="24"/>
          <w:shd w:val="clear" w:color="auto" w:fill="FFFFFF"/>
        </w:rPr>
        <w:t>4</w:t>
      </w:r>
      <w:r w:rsidR="008868C3">
        <w:rPr>
          <w:rFonts w:ascii="Times New Roman" w:eastAsiaTheme="minorEastAsia" w:hAnsi="Times New Roman" w:cs="Times New Roman"/>
          <w:color w:val="222222"/>
          <w:sz w:val="24"/>
          <w:szCs w:val="24"/>
          <w:shd w:val="clear" w:color="auto" w:fill="FFFFFF"/>
        </w:rPr>
        <w:t>%. Cette hausse pourrait s’expliquer par l’adaptation de la décision qui avait été prise par le gouvernement</w:t>
      </w:r>
      <w:r w:rsidRPr="00F27F45">
        <w:rPr>
          <w:rFonts w:ascii="Times New Roman" w:eastAsiaTheme="minorEastAsia" w:hAnsi="Times New Roman" w:cs="Times New Roman"/>
          <w:color w:val="222222"/>
          <w:sz w:val="24"/>
          <w:szCs w:val="24"/>
          <w:shd w:val="clear" w:color="auto" w:fill="FFFFFF"/>
        </w:rPr>
        <w:t xml:space="preserve"> réduisant l’espace de circulation des motocycles dans la capitale de Bujumbura</w:t>
      </w:r>
      <w:r w:rsidR="008868C3">
        <w:rPr>
          <w:rFonts w:ascii="Times New Roman" w:eastAsiaTheme="minorEastAsia" w:hAnsi="Times New Roman" w:cs="Times New Roman"/>
          <w:color w:val="222222"/>
          <w:sz w:val="24"/>
          <w:szCs w:val="24"/>
          <w:shd w:val="clear" w:color="auto" w:fill="FFFFFF"/>
        </w:rPr>
        <w:t>.</w:t>
      </w:r>
    </w:p>
    <w:p w14:paraId="2BC9DA2B" w14:textId="77777777" w:rsidR="00F27F45" w:rsidRPr="00F27F45" w:rsidRDefault="00F27F45" w:rsidP="00F27F45">
      <w:pPr>
        <w:spacing w:line="240" w:lineRule="auto"/>
        <w:rPr>
          <w:rFonts w:asciiTheme="majorHAnsi" w:eastAsiaTheme="minorEastAsia" w:hAnsiTheme="majorHAnsi" w:cstheme="majorHAnsi"/>
          <w:b/>
          <w:iCs/>
          <w:color w:val="44546A" w:themeColor="text2"/>
          <w:sz w:val="20"/>
          <w:szCs w:val="20"/>
          <w:lang w:eastAsia="fr-FR"/>
        </w:rPr>
      </w:pPr>
      <w:bookmarkStart w:id="27" w:name="_Toc4757514"/>
      <w:bookmarkStart w:id="28" w:name="_Toc136004714"/>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2</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lang w:eastAsia="fr-FR"/>
        </w:rPr>
        <w:t>: Evolution du commerce et réparation d’automobiles et de motocycles</w:t>
      </w:r>
      <w:bookmarkEnd w:id="27"/>
      <w:bookmarkEnd w:id="28"/>
    </w:p>
    <w:p w14:paraId="79C3640E" w14:textId="18090795" w:rsidR="00F27F45" w:rsidRPr="00F27F45" w:rsidRDefault="008F355A" w:rsidP="00F27F45">
      <w:pPr>
        <w:rPr>
          <w:rFonts w:eastAsiaTheme="minorEastAsia"/>
          <w:lang w:eastAsia="fr-FR"/>
        </w:rPr>
      </w:pPr>
      <w:r>
        <w:rPr>
          <w:noProof/>
          <w:lang w:eastAsia="fr-FR"/>
        </w:rPr>
        <w:drawing>
          <wp:inline distT="0" distB="0" distL="0" distR="0" wp14:anchorId="2D74A184" wp14:editId="1F097C8C">
            <wp:extent cx="5395595" cy="2619375"/>
            <wp:effectExtent l="0" t="0" r="14605" b="9525"/>
            <wp:docPr id="40" name="Graphique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7E27561"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lastRenderedPageBreak/>
        <w:t>Source : INSBU, calcul de l’ICA, base 2018=100</w:t>
      </w:r>
    </w:p>
    <w:p w14:paraId="25BDF3AA" w14:textId="11CE4F01"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lang w:eastAsia="fr-FR"/>
        </w:rPr>
      </w:pPr>
      <w:bookmarkStart w:id="29" w:name="_Toc136004694"/>
      <w:r w:rsidRPr="00F27F45">
        <w:rPr>
          <w:rFonts w:ascii="Times New Roman" w:eastAsiaTheme="majorEastAsia" w:hAnsi="Times New Roman" w:cs="Times New Roman"/>
          <w:color w:val="1F4D78" w:themeColor="accent1" w:themeShade="7F"/>
          <w:sz w:val="24"/>
          <w:szCs w:val="24"/>
          <w:lang w:eastAsia="fr-FR"/>
        </w:rPr>
        <w:t>II.2.2 Commerce de gros et activités des intermédiaires</w:t>
      </w:r>
      <w:bookmarkEnd w:id="29"/>
    </w:p>
    <w:p w14:paraId="03398A0B" w14:textId="5A4F0DBB" w:rsidR="00F27F45" w:rsidRPr="00F27F45" w:rsidRDefault="00F27F45" w:rsidP="00F27F45">
      <w:pPr>
        <w:spacing w:after="0" w:line="240" w:lineRule="auto"/>
        <w:jc w:val="both"/>
        <w:rPr>
          <w:rFonts w:ascii="Times New Roman" w:eastAsiaTheme="minorEastAsia" w:hAnsi="Times New Roman" w:cs="Times New Roman"/>
          <w:color w:val="222222"/>
          <w:sz w:val="24"/>
          <w:szCs w:val="24"/>
          <w:shd w:val="clear" w:color="auto" w:fill="FFFFFF"/>
        </w:rPr>
      </w:pPr>
      <w:r w:rsidRPr="00F27F45">
        <w:rPr>
          <w:rFonts w:ascii="Times New Roman" w:eastAsiaTheme="minorEastAsia" w:hAnsi="Times New Roman" w:cs="Times New Roman"/>
          <w:color w:val="222222"/>
          <w:sz w:val="24"/>
          <w:szCs w:val="24"/>
          <w:shd w:val="clear" w:color="auto" w:fill="FFFFFF"/>
        </w:rPr>
        <w:t xml:space="preserve">Au cours du premier trimestre 2023, le commerce de gros et activités des intermédiaires s’est caractérisé par une </w:t>
      </w:r>
      <w:r w:rsidR="00C459BC">
        <w:rPr>
          <w:rFonts w:ascii="Times New Roman" w:eastAsiaTheme="minorEastAsia" w:hAnsi="Times New Roman" w:cs="Times New Roman"/>
          <w:color w:val="222222"/>
          <w:sz w:val="24"/>
          <w:szCs w:val="24"/>
          <w:shd w:val="clear" w:color="auto" w:fill="FFFFFF"/>
        </w:rPr>
        <w:t xml:space="preserve">baisse </w:t>
      </w:r>
      <w:r w:rsidRPr="00F27F45">
        <w:rPr>
          <w:rFonts w:ascii="Times New Roman" w:eastAsiaTheme="minorEastAsia" w:hAnsi="Times New Roman" w:cs="Times New Roman"/>
          <w:color w:val="222222"/>
          <w:sz w:val="24"/>
          <w:szCs w:val="24"/>
          <w:shd w:val="clear" w:color="auto" w:fill="FFFFFF"/>
        </w:rPr>
        <w:t xml:space="preserve">de </w:t>
      </w:r>
      <w:r w:rsidR="005B63B3">
        <w:rPr>
          <w:rFonts w:ascii="Times New Roman" w:eastAsiaTheme="minorEastAsia" w:hAnsi="Times New Roman" w:cs="Times New Roman"/>
          <w:color w:val="222222"/>
          <w:sz w:val="24"/>
          <w:szCs w:val="24"/>
          <w:shd w:val="clear" w:color="auto" w:fill="FFFFFF"/>
        </w:rPr>
        <w:t>21.9</w:t>
      </w:r>
      <w:r w:rsidRPr="00F27F45">
        <w:rPr>
          <w:rFonts w:ascii="Times New Roman" w:eastAsiaTheme="minorEastAsia" w:hAnsi="Times New Roman" w:cs="Times New Roman"/>
          <w:color w:val="222222"/>
          <w:sz w:val="24"/>
          <w:szCs w:val="24"/>
          <w:shd w:val="clear" w:color="auto" w:fill="FFFFFF"/>
        </w:rPr>
        <w:t>% en référence à la même période de l’année précédente. En effet,</w:t>
      </w:r>
      <w:r w:rsidR="00C459BC">
        <w:rPr>
          <w:rFonts w:ascii="Times New Roman" w:eastAsiaTheme="minorEastAsia" w:hAnsi="Times New Roman" w:cs="Times New Roman"/>
          <w:color w:val="222222"/>
          <w:sz w:val="24"/>
          <w:szCs w:val="24"/>
          <w:shd w:val="clear" w:color="auto" w:fill="FFFFFF"/>
        </w:rPr>
        <w:t xml:space="preserve"> ces sont </w:t>
      </w:r>
      <w:r w:rsidRPr="00F27F45">
        <w:rPr>
          <w:rFonts w:ascii="Times New Roman" w:eastAsiaTheme="minorEastAsia" w:hAnsi="Times New Roman" w:cs="Times New Roman"/>
          <w:color w:val="222222"/>
          <w:sz w:val="24"/>
          <w:szCs w:val="24"/>
          <w:shd w:val="clear" w:color="auto" w:fill="FFFFFF"/>
        </w:rPr>
        <w:t>le</w:t>
      </w:r>
      <w:r w:rsidR="00C459BC">
        <w:rPr>
          <w:rFonts w:ascii="Times New Roman" w:eastAsiaTheme="minorEastAsia" w:hAnsi="Times New Roman" w:cs="Times New Roman"/>
          <w:color w:val="222222"/>
          <w:sz w:val="24"/>
          <w:szCs w:val="24"/>
          <w:shd w:val="clear" w:color="auto" w:fill="FFFFFF"/>
        </w:rPr>
        <w:t xml:space="preserve">s sous branches </w:t>
      </w:r>
      <w:r w:rsidR="00F43044">
        <w:rPr>
          <w:rFonts w:ascii="Times New Roman" w:eastAsiaTheme="minorEastAsia" w:hAnsi="Times New Roman" w:cs="Times New Roman"/>
          <w:color w:val="222222"/>
          <w:sz w:val="24"/>
          <w:szCs w:val="24"/>
          <w:shd w:val="clear" w:color="auto" w:fill="FFFFFF"/>
        </w:rPr>
        <w:t xml:space="preserve">du </w:t>
      </w:r>
      <w:r w:rsidR="00F43044" w:rsidRPr="00F27F45">
        <w:rPr>
          <w:rFonts w:ascii="Times New Roman" w:eastAsiaTheme="minorEastAsia" w:hAnsi="Times New Roman" w:cs="Times New Roman"/>
          <w:color w:val="222222"/>
          <w:sz w:val="24"/>
          <w:szCs w:val="24"/>
          <w:shd w:val="clear" w:color="auto" w:fill="FFFFFF"/>
        </w:rPr>
        <w:t>commerce</w:t>
      </w:r>
      <w:r w:rsidRPr="00F27F45">
        <w:rPr>
          <w:rFonts w:ascii="Times New Roman" w:eastAsiaTheme="minorEastAsia" w:hAnsi="Times New Roman" w:cs="Times New Roman"/>
          <w:color w:val="222222"/>
          <w:sz w:val="24"/>
          <w:szCs w:val="24"/>
          <w:shd w:val="clear" w:color="auto" w:fill="FFFFFF"/>
        </w:rPr>
        <w:t xml:space="preserve"> de gros des produits</w:t>
      </w:r>
      <w:r w:rsidR="00C459BC">
        <w:rPr>
          <w:rFonts w:ascii="Times New Roman" w:eastAsiaTheme="minorEastAsia" w:hAnsi="Times New Roman" w:cs="Times New Roman"/>
          <w:color w:val="222222"/>
          <w:sz w:val="24"/>
          <w:szCs w:val="24"/>
          <w:shd w:val="clear" w:color="auto" w:fill="FFFFFF"/>
        </w:rPr>
        <w:t xml:space="preserve"> intermédiaires non agricoles</w:t>
      </w:r>
      <w:r w:rsidR="005B63B3">
        <w:rPr>
          <w:rFonts w:ascii="Times New Roman" w:eastAsiaTheme="minorEastAsia" w:hAnsi="Times New Roman" w:cs="Times New Roman"/>
          <w:color w:val="222222"/>
          <w:sz w:val="24"/>
          <w:szCs w:val="24"/>
          <w:shd w:val="clear" w:color="auto" w:fill="FFFFFF"/>
        </w:rPr>
        <w:t>, commerce de gros de machines, d’équipements et fournitures</w:t>
      </w:r>
      <w:r w:rsidR="00C459BC">
        <w:rPr>
          <w:rFonts w:ascii="Times New Roman" w:eastAsiaTheme="minorEastAsia" w:hAnsi="Times New Roman" w:cs="Times New Roman"/>
          <w:color w:val="222222"/>
          <w:sz w:val="24"/>
          <w:szCs w:val="24"/>
          <w:shd w:val="clear" w:color="auto" w:fill="FFFFFF"/>
        </w:rPr>
        <w:t xml:space="preserve"> et activités des intermédiaires du commerce de gros qui ont contribué à cette baisse respectivement de </w:t>
      </w:r>
      <w:r w:rsidR="005B63B3">
        <w:rPr>
          <w:rFonts w:ascii="Times New Roman" w:eastAsiaTheme="minorEastAsia" w:hAnsi="Times New Roman" w:cs="Times New Roman"/>
          <w:color w:val="222222"/>
          <w:sz w:val="24"/>
          <w:szCs w:val="24"/>
          <w:shd w:val="clear" w:color="auto" w:fill="FFFFFF"/>
        </w:rPr>
        <w:t>20.2</w:t>
      </w:r>
      <w:r w:rsidR="00C459BC">
        <w:rPr>
          <w:rFonts w:ascii="Times New Roman" w:eastAsiaTheme="minorEastAsia" w:hAnsi="Times New Roman" w:cs="Times New Roman"/>
          <w:color w:val="222222"/>
          <w:sz w:val="24"/>
          <w:szCs w:val="24"/>
          <w:shd w:val="clear" w:color="auto" w:fill="FFFFFF"/>
        </w:rPr>
        <w:t xml:space="preserve">% </w:t>
      </w:r>
      <w:r w:rsidR="005B63B3">
        <w:rPr>
          <w:rFonts w:ascii="Times New Roman" w:eastAsiaTheme="minorEastAsia" w:hAnsi="Times New Roman" w:cs="Times New Roman"/>
          <w:color w:val="222222"/>
          <w:sz w:val="24"/>
          <w:szCs w:val="24"/>
          <w:shd w:val="clear" w:color="auto" w:fill="FFFFFF"/>
        </w:rPr>
        <w:t>,</w:t>
      </w:r>
      <w:r w:rsidR="00C459BC">
        <w:rPr>
          <w:rFonts w:ascii="Times New Roman" w:eastAsiaTheme="minorEastAsia" w:hAnsi="Times New Roman" w:cs="Times New Roman"/>
          <w:color w:val="222222"/>
          <w:sz w:val="24"/>
          <w:szCs w:val="24"/>
          <w:shd w:val="clear" w:color="auto" w:fill="FFFFFF"/>
        </w:rPr>
        <w:t xml:space="preserve"> </w:t>
      </w:r>
      <w:r w:rsidR="005B63B3">
        <w:rPr>
          <w:rFonts w:ascii="Times New Roman" w:eastAsiaTheme="minorEastAsia" w:hAnsi="Times New Roman" w:cs="Times New Roman"/>
          <w:color w:val="222222"/>
          <w:sz w:val="24"/>
          <w:szCs w:val="24"/>
          <w:shd w:val="clear" w:color="auto" w:fill="FFFFFF"/>
        </w:rPr>
        <w:t>5.2</w:t>
      </w:r>
      <w:r w:rsidR="00AD5A9A">
        <w:rPr>
          <w:rFonts w:ascii="Times New Roman" w:eastAsiaTheme="minorEastAsia" w:hAnsi="Times New Roman" w:cs="Times New Roman"/>
          <w:color w:val="222222"/>
          <w:sz w:val="24"/>
          <w:szCs w:val="24"/>
          <w:shd w:val="clear" w:color="auto" w:fill="FFFFFF"/>
        </w:rPr>
        <w:t xml:space="preserve"> </w:t>
      </w:r>
      <w:r w:rsidR="005B63B3">
        <w:rPr>
          <w:rFonts w:ascii="Times New Roman" w:eastAsiaTheme="minorEastAsia" w:hAnsi="Times New Roman" w:cs="Times New Roman"/>
          <w:color w:val="222222"/>
          <w:sz w:val="24"/>
          <w:szCs w:val="24"/>
          <w:shd w:val="clear" w:color="auto" w:fill="FFFFFF"/>
        </w:rPr>
        <w:t>et 0.2% .</w:t>
      </w:r>
      <w:r w:rsidR="00AD5A9A">
        <w:rPr>
          <w:rFonts w:ascii="Times New Roman" w:eastAsiaTheme="minorEastAsia" w:hAnsi="Times New Roman" w:cs="Times New Roman"/>
          <w:color w:val="222222"/>
          <w:sz w:val="24"/>
          <w:szCs w:val="24"/>
          <w:shd w:val="clear" w:color="auto" w:fill="FFFFFF"/>
        </w:rPr>
        <w:t>Les</w:t>
      </w:r>
      <w:r w:rsidR="00C459BC">
        <w:rPr>
          <w:rFonts w:ascii="Times New Roman" w:eastAsiaTheme="minorEastAsia" w:hAnsi="Times New Roman" w:cs="Times New Roman"/>
          <w:color w:val="222222"/>
          <w:sz w:val="24"/>
          <w:szCs w:val="24"/>
          <w:shd w:val="clear" w:color="auto" w:fill="FFFFFF"/>
        </w:rPr>
        <w:t xml:space="preserve"> autres sous branches comme </w:t>
      </w:r>
      <w:r w:rsidRPr="00F27F45">
        <w:rPr>
          <w:rFonts w:ascii="Times New Roman" w:eastAsiaTheme="minorEastAsia" w:hAnsi="Times New Roman" w:cs="Times New Roman"/>
          <w:sz w:val="24"/>
          <w:szCs w:val="24"/>
          <w:shd w:val="clear" w:color="auto" w:fill="FFFFFF"/>
        </w:rPr>
        <w:t>le</w:t>
      </w:r>
      <w:r w:rsidRPr="00F27F45">
        <w:rPr>
          <w:rFonts w:ascii="Times New Roman" w:eastAsiaTheme="minorEastAsia" w:hAnsi="Times New Roman" w:cs="Times New Roman"/>
          <w:color w:val="222222"/>
          <w:sz w:val="24"/>
          <w:szCs w:val="24"/>
          <w:shd w:val="clear" w:color="auto" w:fill="FFFFFF"/>
        </w:rPr>
        <w:t xml:space="preserve"> commerce de gros </w:t>
      </w:r>
      <w:r w:rsidR="00C459BC">
        <w:rPr>
          <w:rFonts w:ascii="Times New Roman" w:eastAsiaTheme="minorEastAsia" w:hAnsi="Times New Roman" w:cs="Times New Roman"/>
          <w:color w:val="222222"/>
          <w:sz w:val="24"/>
          <w:szCs w:val="24"/>
          <w:shd w:val="clear" w:color="auto" w:fill="FFFFFF"/>
        </w:rPr>
        <w:t xml:space="preserve">de biens de consommations non alimentaires, commerce de gros des produits agricoles bruts, d’animaux vivants, produits alimentaires, boissons et tabac ont eu une croissance positive respectivement de 2.6% et </w:t>
      </w:r>
      <w:r w:rsidR="005B63B3">
        <w:rPr>
          <w:rFonts w:ascii="Times New Roman" w:eastAsiaTheme="minorEastAsia" w:hAnsi="Times New Roman" w:cs="Times New Roman"/>
          <w:color w:val="222222"/>
          <w:sz w:val="24"/>
          <w:szCs w:val="24"/>
          <w:shd w:val="clear" w:color="auto" w:fill="FFFFFF"/>
        </w:rPr>
        <w:t>1</w:t>
      </w:r>
      <w:r w:rsidR="00C459BC">
        <w:rPr>
          <w:rFonts w:ascii="Times New Roman" w:eastAsiaTheme="minorEastAsia" w:hAnsi="Times New Roman" w:cs="Times New Roman"/>
          <w:color w:val="222222"/>
          <w:sz w:val="24"/>
          <w:szCs w:val="24"/>
          <w:shd w:val="clear" w:color="auto" w:fill="FFFFFF"/>
        </w:rPr>
        <w:t>.</w:t>
      </w:r>
      <w:r w:rsidR="005B63B3">
        <w:rPr>
          <w:rFonts w:ascii="Times New Roman" w:eastAsiaTheme="minorEastAsia" w:hAnsi="Times New Roman" w:cs="Times New Roman"/>
          <w:color w:val="222222"/>
          <w:sz w:val="24"/>
          <w:szCs w:val="24"/>
          <w:shd w:val="clear" w:color="auto" w:fill="FFFFFF"/>
        </w:rPr>
        <w:t>2</w:t>
      </w:r>
      <w:r w:rsidR="00C459BC">
        <w:rPr>
          <w:rFonts w:ascii="Times New Roman" w:eastAsiaTheme="minorEastAsia" w:hAnsi="Times New Roman" w:cs="Times New Roman"/>
          <w:color w:val="222222"/>
          <w:sz w:val="24"/>
          <w:szCs w:val="24"/>
          <w:shd w:val="clear" w:color="auto" w:fill="FFFFFF"/>
        </w:rPr>
        <w:t xml:space="preserve">%. </w:t>
      </w:r>
      <w:r w:rsidR="00F43044">
        <w:rPr>
          <w:rFonts w:ascii="Times New Roman" w:eastAsiaTheme="minorEastAsia" w:hAnsi="Times New Roman" w:cs="Times New Roman"/>
          <w:color w:val="222222"/>
          <w:sz w:val="24"/>
          <w:szCs w:val="24"/>
          <w:shd w:val="clear" w:color="auto" w:fill="FFFFFF"/>
        </w:rPr>
        <w:t>Cette</w:t>
      </w:r>
      <w:r w:rsidR="00C459BC">
        <w:rPr>
          <w:rFonts w:ascii="Times New Roman" w:eastAsiaTheme="minorEastAsia" w:hAnsi="Times New Roman" w:cs="Times New Roman"/>
          <w:color w:val="222222"/>
          <w:sz w:val="24"/>
          <w:szCs w:val="24"/>
          <w:shd w:val="clear" w:color="auto" w:fill="FFFFFF"/>
        </w:rPr>
        <w:t xml:space="preserve"> croissance négative de cette branche aurait été dû</w:t>
      </w:r>
      <w:r w:rsidR="00C459BC" w:rsidRPr="00F27F45">
        <w:rPr>
          <w:rFonts w:ascii="Times New Roman" w:eastAsiaTheme="minorEastAsia" w:hAnsi="Times New Roman" w:cs="Times New Roman"/>
          <w:color w:val="222222"/>
          <w:sz w:val="24"/>
          <w:szCs w:val="24"/>
          <w:shd w:val="clear" w:color="auto" w:fill="FFFFFF"/>
        </w:rPr>
        <w:t xml:space="preserve"> </w:t>
      </w:r>
      <w:r w:rsidR="00AD5A9A">
        <w:rPr>
          <w:rFonts w:ascii="Times New Roman" w:eastAsiaTheme="minorEastAsia" w:hAnsi="Times New Roman" w:cs="Times New Roman"/>
          <w:color w:val="222222"/>
          <w:sz w:val="24"/>
          <w:szCs w:val="24"/>
          <w:shd w:val="clear" w:color="auto" w:fill="FFFFFF"/>
        </w:rPr>
        <w:t>aux faibles importations</w:t>
      </w:r>
      <w:r w:rsidR="00C459BC">
        <w:rPr>
          <w:rFonts w:ascii="Times New Roman" w:eastAsiaTheme="minorEastAsia" w:hAnsi="Times New Roman" w:cs="Times New Roman"/>
          <w:color w:val="222222"/>
          <w:sz w:val="24"/>
          <w:szCs w:val="24"/>
          <w:shd w:val="clear" w:color="auto" w:fill="FFFFFF"/>
        </w:rPr>
        <w:t xml:space="preserve"> des produits pétroliers par rapport à la même période de l’année 2022 estimé à</w:t>
      </w:r>
      <w:r w:rsidR="005B63B3">
        <w:rPr>
          <w:rFonts w:ascii="Times New Roman" w:eastAsiaTheme="minorEastAsia" w:hAnsi="Times New Roman" w:cs="Times New Roman"/>
          <w:color w:val="222222"/>
          <w:sz w:val="24"/>
          <w:szCs w:val="24"/>
          <w:shd w:val="clear" w:color="auto" w:fill="FFFFFF"/>
        </w:rPr>
        <w:t xml:space="preserve"> environ </w:t>
      </w:r>
      <w:r w:rsidR="00C459BC">
        <w:rPr>
          <w:rFonts w:ascii="Times New Roman" w:eastAsiaTheme="minorEastAsia" w:hAnsi="Times New Roman" w:cs="Times New Roman"/>
          <w:color w:val="222222"/>
          <w:sz w:val="24"/>
          <w:szCs w:val="24"/>
          <w:shd w:val="clear" w:color="auto" w:fill="FFFFFF"/>
        </w:rPr>
        <w:t xml:space="preserve">8% en volume. </w:t>
      </w:r>
    </w:p>
    <w:p w14:paraId="0345FB67" w14:textId="77777777" w:rsidR="008F355A" w:rsidRDefault="008F355A" w:rsidP="00F27F45">
      <w:pPr>
        <w:spacing w:line="240" w:lineRule="auto"/>
        <w:rPr>
          <w:rFonts w:asciiTheme="majorHAnsi" w:eastAsiaTheme="minorEastAsia" w:hAnsiTheme="majorHAnsi" w:cstheme="majorHAnsi"/>
          <w:b/>
          <w:iCs/>
          <w:color w:val="44546A" w:themeColor="text2"/>
          <w:sz w:val="20"/>
          <w:szCs w:val="20"/>
        </w:rPr>
      </w:pPr>
      <w:bookmarkStart w:id="30" w:name="_Toc4687162"/>
      <w:bookmarkStart w:id="31" w:name="_Toc4747543"/>
      <w:bookmarkStart w:id="32" w:name="_Toc4748555"/>
      <w:bookmarkStart w:id="33" w:name="_Toc4757515"/>
      <w:bookmarkStart w:id="34" w:name="_Hlk4751763"/>
    </w:p>
    <w:p w14:paraId="51716DD6" w14:textId="0C99CC79" w:rsidR="00F27F45" w:rsidRPr="00F27F45" w:rsidRDefault="00F27F45" w:rsidP="00F27F45">
      <w:pPr>
        <w:spacing w:line="240" w:lineRule="auto"/>
        <w:rPr>
          <w:rFonts w:asciiTheme="majorHAnsi" w:eastAsiaTheme="minorEastAsia" w:hAnsiTheme="majorHAnsi" w:cstheme="majorHAnsi"/>
          <w:b/>
          <w:iCs/>
          <w:color w:val="44546A" w:themeColor="text2"/>
          <w:sz w:val="20"/>
          <w:szCs w:val="20"/>
        </w:rPr>
      </w:pPr>
      <w:bookmarkStart w:id="35" w:name="_Toc136004715"/>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3</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rPr>
        <w:t>: Evolution du commerce de gros et activités des intermédiaires</w:t>
      </w:r>
      <w:bookmarkStart w:id="36" w:name="_Hlk4751849"/>
      <w:bookmarkEnd w:id="30"/>
      <w:bookmarkEnd w:id="31"/>
      <w:bookmarkEnd w:id="32"/>
      <w:bookmarkEnd w:id="33"/>
      <w:bookmarkEnd w:id="34"/>
      <w:bookmarkEnd w:id="35"/>
    </w:p>
    <w:p w14:paraId="078F7A2C" w14:textId="207E2081" w:rsidR="00F27F45" w:rsidRPr="00F27F45" w:rsidRDefault="008F355A" w:rsidP="00F27F45">
      <w:pPr>
        <w:rPr>
          <w:rFonts w:eastAsiaTheme="minorEastAsia"/>
        </w:rPr>
      </w:pPr>
      <w:r>
        <w:rPr>
          <w:noProof/>
          <w:lang w:eastAsia="fr-FR"/>
        </w:rPr>
        <w:drawing>
          <wp:inline distT="0" distB="0" distL="0" distR="0" wp14:anchorId="21B1C09E" wp14:editId="50A0F8C2">
            <wp:extent cx="5295900" cy="2819400"/>
            <wp:effectExtent l="0" t="0" r="0" b="0"/>
            <wp:docPr id="41" name="Graphique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64EA2C8"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bookmarkEnd w:id="36"/>
      <w:r w:rsidRPr="00F27F45">
        <w:rPr>
          <w:rFonts w:ascii="Times New Roman" w:eastAsiaTheme="minorEastAsia" w:hAnsi="Times New Roman" w:cs="Times New Roman"/>
          <w:color w:val="222222"/>
          <w:sz w:val="24"/>
          <w:szCs w:val="24"/>
          <w:shd w:val="clear" w:color="auto" w:fill="FFFFFF"/>
        </w:rPr>
        <w:t xml:space="preserve"> </w:t>
      </w:r>
    </w:p>
    <w:p w14:paraId="31C7A05C"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lang w:eastAsia="fr-FR"/>
        </w:rPr>
      </w:pPr>
      <w:bookmarkStart w:id="37" w:name="_Toc136004695"/>
      <w:r w:rsidRPr="00F27F45">
        <w:rPr>
          <w:rFonts w:ascii="Times New Roman" w:eastAsiaTheme="majorEastAsia" w:hAnsi="Times New Roman" w:cs="Times New Roman"/>
          <w:color w:val="1F4D78" w:themeColor="accent1" w:themeShade="7F"/>
          <w:sz w:val="24"/>
          <w:szCs w:val="24"/>
          <w:lang w:eastAsia="fr-FR"/>
        </w:rPr>
        <w:t>II.2.3 Commerce de gros des produits pétroliers</w:t>
      </w:r>
      <w:bookmarkEnd w:id="37"/>
    </w:p>
    <w:p w14:paraId="525FAAC2" w14:textId="1AB99B24" w:rsidR="00F27F45" w:rsidRPr="00F27F45" w:rsidRDefault="00F27F45" w:rsidP="00F27F45">
      <w:pPr>
        <w:spacing w:line="360" w:lineRule="auto"/>
        <w:jc w:val="both"/>
        <w:rPr>
          <w:rFonts w:ascii="Times New Roman" w:eastAsiaTheme="minorEastAsia" w:hAnsi="Times New Roman" w:cs="Times New Roman"/>
          <w:color w:val="222222"/>
          <w:sz w:val="24"/>
          <w:szCs w:val="24"/>
          <w:shd w:val="clear" w:color="auto" w:fill="FFFFFF"/>
        </w:rPr>
      </w:pPr>
      <w:r w:rsidRPr="00F27F45">
        <w:rPr>
          <w:rFonts w:ascii="Times New Roman" w:eastAsiaTheme="minorEastAsia" w:hAnsi="Times New Roman" w:cs="Times New Roman"/>
          <w:sz w:val="24"/>
          <w:szCs w:val="24"/>
          <w:lang w:eastAsia="fr-FR"/>
        </w:rPr>
        <w:t xml:space="preserve">Le commerce de gros des produits pétroliers au cours du premier trimestre 2023 s’est caractérisé par une </w:t>
      </w:r>
      <w:r w:rsidR="009C3664">
        <w:rPr>
          <w:rFonts w:ascii="Times New Roman" w:eastAsiaTheme="minorEastAsia" w:hAnsi="Times New Roman" w:cs="Times New Roman"/>
          <w:sz w:val="24"/>
          <w:szCs w:val="24"/>
          <w:lang w:eastAsia="fr-FR"/>
        </w:rPr>
        <w:t>bai</w:t>
      </w:r>
      <w:r w:rsidRPr="00F27F45">
        <w:rPr>
          <w:rFonts w:ascii="Times New Roman" w:eastAsiaTheme="minorEastAsia" w:hAnsi="Times New Roman" w:cs="Times New Roman"/>
          <w:sz w:val="24"/>
          <w:szCs w:val="24"/>
          <w:lang w:eastAsia="fr-FR"/>
        </w:rPr>
        <w:t xml:space="preserve">sse de </w:t>
      </w:r>
      <w:r w:rsidR="009C3664">
        <w:rPr>
          <w:rFonts w:ascii="Times New Roman" w:eastAsiaTheme="minorEastAsia" w:hAnsi="Times New Roman" w:cs="Times New Roman"/>
          <w:sz w:val="24"/>
          <w:szCs w:val="24"/>
          <w:lang w:eastAsia="fr-FR"/>
        </w:rPr>
        <w:t>17.1</w:t>
      </w:r>
      <w:r w:rsidRPr="00F27F45">
        <w:rPr>
          <w:rFonts w:ascii="Times New Roman" w:eastAsiaTheme="minorEastAsia" w:hAnsi="Times New Roman" w:cs="Times New Roman"/>
          <w:color w:val="222222"/>
          <w:sz w:val="24"/>
          <w:szCs w:val="24"/>
          <w:shd w:val="clear" w:color="auto" w:fill="FFFFFF"/>
        </w:rPr>
        <w:t>% comparé à la même période de l’année précédente. Signalons que le niveau d’activité de cette branche connait une ascension depuis le premier trimestre 2018 jusqu’au premier trimestre de 2020. Cependant, à partir du deuxième trimestre 2020, l’on observe une chute</w:t>
      </w:r>
      <w:bookmarkStart w:id="38" w:name="_Toc4757516"/>
      <w:bookmarkStart w:id="39" w:name="_Hlk4751895"/>
      <w:r w:rsidR="00F43044">
        <w:rPr>
          <w:rFonts w:ascii="Times New Roman" w:eastAsiaTheme="minorEastAsia" w:hAnsi="Times New Roman" w:cs="Times New Roman"/>
          <w:color w:val="222222"/>
          <w:sz w:val="24"/>
          <w:szCs w:val="24"/>
          <w:shd w:val="clear" w:color="auto" w:fill="FFFFFF"/>
        </w:rPr>
        <w:t>, c</w:t>
      </w:r>
      <w:r w:rsidRPr="00F27F45">
        <w:rPr>
          <w:rFonts w:ascii="Times New Roman" w:eastAsiaTheme="minorEastAsia" w:hAnsi="Times New Roman" w:cs="Times New Roman"/>
          <w:color w:val="222222"/>
          <w:sz w:val="24"/>
          <w:szCs w:val="24"/>
          <w:shd w:val="clear" w:color="auto" w:fill="FFFFFF"/>
        </w:rPr>
        <w:t>aus</w:t>
      </w:r>
      <w:r w:rsidR="00F43044">
        <w:rPr>
          <w:rFonts w:ascii="Times New Roman" w:eastAsiaTheme="minorEastAsia" w:hAnsi="Times New Roman" w:cs="Times New Roman"/>
          <w:color w:val="222222"/>
          <w:sz w:val="24"/>
          <w:szCs w:val="24"/>
          <w:shd w:val="clear" w:color="auto" w:fill="FFFFFF"/>
        </w:rPr>
        <w:t xml:space="preserve">ée </w:t>
      </w:r>
      <w:r w:rsidRPr="00F27F45">
        <w:rPr>
          <w:rFonts w:ascii="Times New Roman" w:eastAsiaTheme="minorEastAsia" w:hAnsi="Times New Roman" w:cs="Times New Roman"/>
          <w:color w:val="222222"/>
          <w:sz w:val="24"/>
          <w:szCs w:val="24"/>
          <w:shd w:val="clear" w:color="auto" w:fill="FFFFFF"/>
        </w:rPr>
        <w:t>par les effets du Covid 19</w:t>
      </w:r>
      <w:r w:rsidR="00F43044">
        <w:rPr>
          <w:rFonts w:ascii="Times New Roman" w:eastAsiaTheme="minorEastAsia" w:hAnsi="Times New Roman" w:cs="Times New Roman"/>
          <w:color w:val="222222"/>
          <w:sz w:val="24"/>
          <w:szCs w:val="24"/>
          <w:shd w:val="clear" w:color="auto" w:fill="FFFFFF"/>
        </w:rPr>
        <w:t xml:space="preserve"> qui a perturbé le transport et le commerce transfrontalier</w:t>
      </w:r>
      <w:r w:rsidRPr="00F27F45">
        <w:rPr>
          <w:rFonts w:ascii="Times New Roman" w:eastAsiaTheme="minorEastAsia" w:hAnsi="Times New Roman" w:cs="Times New Roman"/>
          <w:color w:val="222222"/>
          <w:sz w:val="24"/>
          <w:szCs w:val="24"/>
          <w:shd w:val="clear" w:color="auto" w:fill="FFFFFF"/>
        </w:rPr>
        <w:t>. Au cours</w:t>
      </w:r>
      <w:r w:rsidR="00F43044">
        <w:rPr>
          <w:rFonts w:ascii="Times New Roman" w:eastAsiaTheme="minorEastAsia" w:hAnsi="Times New Roman" w:cs="Times New Roman"/>
          <w:color w:val="222222"/>
          <w:sz w:val="24"/>
          <w:szCs w:val="24"/>
          <w:shd w:val="clear" w:color="auto" w:fill="FFFFFF"/>
        </w:rPr>
        <w:t xml:space="preserve"> des</w:t>
      </w:r>
      <w:r w:rsidR="00F43044" w:rsidRPr="00F43044">
        <w:rPr>
          <w:rFonts w:ascii="Times New Roman" w:eastAsiaTheme="minorEastAsia" w:hAnsi="Times New Roman" w:cs="Times New Roman"/>
          <w:color w:val="222222"/>
          <w:sz w:val="24"/>
          <w:szCs w:val="24"/>
          <w:shd w:val="clear" w:color="auto" w:fill="FFFFFF"/>
        </w:rPr>
        <w:t xml:space="preserve"> </w:t>
      </w:r>
      <w:r w:rsidR="00F43044">
        <w:rPr>
          <w:rFonts w:ascii="Times New Roman" w:eastAsiaTheme="minorEastAsia" w:hAnsi="Times New Roman" w:cs="Times New Roman"/>
          <w:color w:val="222222"/>
          <w:sz w:val="24"/>
          <w:szCs w:val="24"/>
          <w:shd w:val="clear" w:color="auto" w:fill="FFFFFF"/>
        </w:rPr>
        <w:t>deux premiers trimestres</w:t>
      </w:r>
      <w:r w:rsidRPr="00F27F45">
        <w:rPr>
          <w:rFonts w:ascii="Times New Roman" w:eastAsiaTheme="minorEastAsia" w:hAnsi="Times New Roman" w:cs="Times New Roman"/>
          <w:color w:val="222222"/>
          <w:sz w:val="24"/>
          <w:szCs w:val="24"/>
          <w:shd w:val="clear" w:color="auto" w:fill="FFFFFF"/>
        </w:rPr>
        <w:t xml:space="preserve"> de l’année 2022, nous observons une croissance, non pas due </w:t>
      </w:r>
      <w:r w:rsidR="00F43044">
        <w:rPr>
          <w:rFonts w:ascii="Times New Roman" w:eastAsiaTheme="minorEastAsia" w:hAnsi="Times New Roman" w:cs="Times New Roman"/>
          <w:color w:val="222222"/>
          <w:sz w:val="24"/>
          <w:szCs w:val="24"/>
          <w:shd w:val="clear" w:color="auto" w:fill="FFFFFF"/>
        </w:rPr>
        <w:t xml:space="preserve">à la hausse du </w:t>
      </w:r>
      <w:r w:rsidRPr="00F27F45">
        <w:rPr>
          <w:rFonts w:ascii="Times New Roman" w:eastAsiaTheme="minorEastAsia" w:hAnsi="Times New Roman" w:cs="Times New Roman"/>
          <w:color w:val="222222"/>
          <w:sz w:val="24"/>
          <w:szCs w:val="24"/>
          <w:shd w:val="clear" w:color="auto" w:fill="FFFFFF"/>
        </w:rPr>
        <w:t>volume du carburant</w:t>
      </w:r>
      <w:r w:rsidR="00F43044">
        <w:rPr>
          <w:rFonts w:ascii="Times New Roman" w:eastAsiaTheme="minorEastAsia" w:hAnsi="Times New Roman" w:cs="Times New Roman"/>
          <w:color w:val="222222"/>
          <w:sz w:val="24"/>
          <w:szCs w:val="24"/>
          <w:shd w:val="clear" w:color="auto" w:fill="FFFFFF"/>
        </w:rPr>
        <w:t xml:space="preserve"> importé,</w:t>
      </w:r>
      <w:r w:rsidRPr="00F27F45">
        <w:rPr>
          <w:rFonts w:ascii="Times New Roman" w:eastAsiaTheme="minorEastAsia" w:hAnsi="Times New Roman" w:cs="Times New Roman"/>
          <w:color w:val="222222"/>
          <w:sz w:val="24"/>
          <w:szCs w:val="24"/>
          <w:shd w:val="clear" w:color="auto" w:fill="FFFFFF"/>
        </w:rPr>
        <w:t xml:space="preserve"> mais plutôt due à la hausse du prix du carburant</w:t>
      </w:r>
      <w:r w:rsidR="00F43044">
        <w:rPr>
          <w:rFonts w:ascii="Times New Roman" w:eastAsiaTheme="minorEastAsia" w:hAnsi="Times New Roman" w:cs="Times New Roman"/>
          <w:color w:val="222222"/>
          <w:sz w:val="24"/>
          <w:szCs w:val="24"/>
          <w:shd w:val="clear" w:color="auto" w:fill="FFFFFF"/>
        </w:rPr>
        <w:t xml:space="preserve"> et </w:t>
      </w:r>
      <w:r w:rsidR="00F43044" w:rsidRPr="00F27F45">
        <w:rPr>
          <w:rFonts w:ascii="Times New Roman" w:eastAsiaTheme="minorEastAsia" w:hAnsi="Times New Roman" w:cs="Times New Roman"/>
          <w:color w:val="222222"/>
          <w:sz w:val="24"/>
          <w:szCs w:val="24"/>
          <w:shd w:val="clear" w:color="auto" w:fill="FFFFFF"/>
        </w:rPr>
        <w:t>à la dévaluation de la monnaie burundai</w:t>
      </w:r>
      <w:r w:rsidR="00F43044">
        <w:rPr>
          <w:rFonts w:ascii="Times New Roman" w:eastAsiaTheme="minorEastAsia" w:hAnsi="Times New Roman" w:cs="Times New Roman"/>
          <w:color w:val="222222"/>
          <w:sz w:val="24"/>
          <w:szCs w:val="24"/>
          <w:shd w:val="clear" w:color="auto" w:fill="FFFFFF"/>
        </w:rPr>
        <w:t>se</w:t>
      </w:r>
      <w:r w:rsidRPr="00F27F45">
        <w:rPr>
          <w:rFonts w:ascii="Times New Roman" w:eastAsiaTheme="minorEastAsia" w:hAnsi="Times New Roman" w:cs="Times New Roman"/>
          <w:color w:val="222222"/>
          <w:sz w:val="24"/>
          <w:szCs w:val="24"/>
          <w:shd w:val="clear" w:color="auto" w:fill="FFFFFF"/>
        </w:rPr>
        <w:t xml:space="preserve">. </w:t>
      </w:r>
      <w:r w:rsidR="00F43044">
        <w:rPr>
          <w:rFonts w:ascii="Times New Roman" w:eastAsiaTheme="minorEastAsia" w:hAnsi="Times New Roman" w:cs="Times New Roman"/>
          <w:color w:val="222222"/>
          <w:sz w:val="24"/>
          <w:szCs w:val="24"/>
          <w:shd w:val="clear" w:color="auto" w:fill="FFFFFF"/>
        </w:rPr>
        <w:t>D</w:t>
      </w:r>
      <w:r w:rsidRPr="00F27F45">
        <w:rPr>
          <w:rFonts w:ascii="Times New Roman" w:eastAsiaTheme="minorEastAsia" w:hAnsi="Times New Roman" w:cs="Times New Roman"/>
          <w:color w:val="222222"/>
          <w:sz w:val="24"/>
          <w:szCs w:val="24"/>
          <w:shd w:val="clear" w:color="auto" w:fill="FFFFFF"/>
        </w:rPr>
        <w:t xml:space="preserve">u </w:t>
      </w:r>
      <w:r w:rsidR="00F43044">
        <w:rPr>
          <w:rFonts w:ascii="Times New Roman" w:eastAsiaTheme="minorEastAsia" w:hAnsi="Times New Roman" w:cs="Times New Roman"/>
          <w:color w:val="222222"/>
          <w:sz w:val="24"/>
          <w:szCs w:val="24"/>
          <w:shd w:val="clear" w:color="auto" w:fill="FFFFFF"/>
        </w:rPr>
        <w:t xml:space="preserve">troisième </w:t>
      </w:r>
      <w:r w:rsidRPr="00F27F45">
        <w:rPr>
          <w:rFonts w:ascii="Times New Roman" w:eastAsiaTheme="minorEastAsia" w:hAnsi="Times New Roman" w:cs="Times New Roman"/>
          <w:color w:val="222222"/>
          <w:sz w:val="24"/>
          <w:szCs w:val="24"/>
          <w:shd w:val="clear" w:color="auto" w:fill="FFFFFF"/>
        </w:rPr>
        <w:t>trimestre 2022</w:t>
      </w:r>
      <w:r w:rsidR="00F43044">
        <w:rPr>
          <w:rFonts w:ascii="Times New Roman" w:eastAsiaTheme="minorEastAsia" w:hAnsi="Times New Roman" w:cs="Times New Roman"/>
          <w:color w:val="222222"/>
          <w:sz w:val="24"/>
          <w:szCs w:val="24"/>
          <w:shd w:val="clear" w:color="auto" w:fill="FFFFFF"/>
        </w:rPr>
        <w:t xml:space="preserve"> </w:t>
      </w:r>
      <w:r w:rsidR="00F43044">
        <w:rPr>
          <w:rFonts w:ascii="Times New Roman" w:eastAsiaTheme="minorEastAsia" w:hAnsi="Times New Roman" w:cs="Times New Roman"/>
          <w:color w:val="222222"/>
          <w:sz w:val="24"/>
          <w:szCs w:val="24"/>
          <w:shd w:val="clear" w:color="auto" w:fill="FFFFFF"/>
        </w:rPr>
        <w:lastRenderedPageBreak/>
        <w:t>au premier trimestre 2023</w:t>
      </w:r>
      <w:r w:rsidRPr="00F27F45">
        <w:rPr>
          <w:rFonts w:ascii="Times New Roman" w:eastAsiaTheme="minorEastAsia" w:hAnsi="Times New Roman" w:cs="Times New Roman"/>
          <w:color w:val="222222"/>
          <w:sz w:val="24"/>
          <w:szCs w:val="24"/>
          <w:shd w:val="clear" w:color="auto" w:fill="FFFFFF"/>
        </w:rPr>
        <w:t>, cette baisse serait liée aux effets de la guerre russo-ukrainienne où les conséquences se manifeste</w:t>
      </w:r>
      <w:r w:rsidR="00F43044">
        <w:rPr>
          <w:rFonts w:ascii="Times New Roman" w:eastAsiaTheme="minorEastAsia" w:hAnsi="Times New Roman" w:cs="Times New Roman"/>
          <w:color w:val="222222"/>
          <w:sz w:val="24"/>
          <w:szCs w:val="24"/>
          <w:shd w:val="clear" w:color="auto" w:fill="FFFFFF"/>
        </w:rPr>
        <w:t xml:space="preserve">nt </w:t>
      </w:r>
      <w:r w:rsidR="0000194C">
        <w:rPr>
          <w:rFonts w:ascii="Times New Roman" w:eastAsiaTheme="minorEastAsia" w:hAnsi="Times New Roman" w:cs="Times New Roman"/>
          <w:color w:val="222222"/>
          <w:sz w:val="24"/>
          <w:szCs w:val="24"/>
          <w:shd w:val="clear" w:color="auto" w:fill="FFFFFF"/>
        </w:rPr>
        <w:t>encore, à</w:t>
      </w:r>
      <w:r w:rsidR="00F43044">
        <w:rPr>
          <w:rFonts w:ascii="Times New Roman" w:eastAsiaTheme="minorEastAsia" w:hAnsi="Times New Roman" w:cs="Times New Roman"/>
          <w:color w:val="222222"/>
          <w:sz w:val="24"/>
          <w:szCs w:val="24"/>
          <w:shd w:val="clear" w:color="auto" w:fill="FFFFFF"/>
        </w:rPr>
        <w:t xml:space="preserve"> </w:t>
      </w:r>
      <w:r w:rsidRPr="00F27F45">
        <w:rPr>
          <w:rFonts w:ascii="Times New Roman" w:eastAsiaTheme="minorEastAsia" w:hAnsi="Times New Roman" w:cs="Times New Roman"/>
          <w:color w:val="222222"/>
          <w:sz w:val="24"/>
          <w:szCs w:val="24"/>
          <w:shd w:val="clear" w:color="auto" w:fill="FFFFFF"/>
        </w:rPr>
        <w:t>la rareté du carburant</w:t>
      </w:r>
      <w:r w:rsidR="00F43044">
        <w:rPr>
          <w:rFonts w:ascii="Times New Roman" w:eastAsiaTheme="minorEastAsia" w:hAnsi="Times New Roman" w:cs="Times New Roman"/>
          <w:color w:val="222222"/>
          <w:sz w:val="24"/>
          <w:szCs w:val="24"/>
          <w:shd w:val="clear" w:color="auto" w:fill="FFFFFF"/>
        </w:rPr>
        <w:t xml:space="preserve"> qui</w:t>
      </w:r>
      <w:r w:rsidRPr="00F27F45">
        <w:rPr>
          <w:rFonts w:ascii="Times New Roman" w:eastAsiaTheme="minorEastAsia" w:hAnsi="Times New Roman" w:cs="Times New Roman"/>
          <w:color w:val="222222"/>
          <w:sz w:val="24"/>
          <w:szCs w:val="24"/>
          <w:shd w:val="clear" w:color="auto" w:fill="FFFFFF"/>
        </w:rPr>
        <w:t xml:space="preserve"> se fait remarquer </w:t>
      </w:r>
      <w:r w:rsidR="00F43044">
        <w:rPr>
          <w:rFonts w:ascii="Times New Roman" w:eastAsiaTheme="minorEastAsia" w:hAnsi="Times New Roman" w:cs="Times New Roman"/>
          <w:color w:val="222222"/>
          <w:sz w:val="24"/>
          <w:szCs w:val="24"/>
          <w:shd w:val="clear" w:color="auto" w:fill="FFFFFF"/>
        </w:rPr>
        <w:t xml:space="preserve">et </w:t>
      </w:r>
      <w:r w:rsidRPr="00F27F45">
        <w:rPr>
          <w:rFonts w:ascii="Times New Roman" w:eastAsiaTheme="minorEastAsia" w:hAnsi="Times New Roman" w:cs="Times New Roman"/>
          <w:color w:val="222222"/>
          <w:sz w:val="24"/>
          <w:szCs w:val="24"/>
          <w:shd w:val="clear" w:color="auto" w:fill="FFFFFF"/>
        </w:rPr>
        <w:t xml:space="preserve">à une spéculation </w:t>
      </w:r>
      <w:r w:rsidR="00F43044">
        <w:rPr>
          <w:rFonts w:ascii="Times New Roman" w:eastAsiaTheme="minorEastAsia" w:hAnsi="Times New Roman" w:cs="Times New Roman"/>
          <w:color w:val="222222"/>
          <w:sz w:val="24"/>
          <w:szCs w:val="24"/>
          <w:shd w:val="clear" w:color="auto" w:fill="FFFFFF"/>
        </w:rPr>
        <w:t xml:space="preserve">de certains </w:t>
      </w:r>
      <w:r w:rsidRPr="00F27F45">
        <w:rPr>
          <w:rFonts w:ascii="Times New Roman" w:eastAsiaTheme="minorEastAsia" w:hAnsi="Times New Roman" w:cs="Times New Roman"/>
          <w:color w:val="222222"/>
          <w:sz w:val="24"/>
          <w:szCs w:val="24"/>
          <w:shd w:val="clear" w:color="auto" w:fill="FFFFFF"/>
        </w:rPr>
        <w:t>importateurs d</w:t>
      </w:r>
      <w:r w:rsidR="00F43044">
        <w:rPr>
          <w:rFonts w:ascii="Times New Roman" w:eastAsiaTheme="minorEastAsia" w:hAnsi="Times New Roman" w:cs="Times New Roman"/>
          <w:color w:val="222222"/>
          <w:sz w:val="24"/>
          <w:szCs w:val="24"/>
          <w:shd w:val="clear" w:color="auto" w:fill="FFFFFF"/>
        </w:rPr>
        <w:t>u</w:t>
      </w:r>
      <w:r w:rsidRPr="00F27F45">
        <w:rPr>
          <w:rFonts w:ascii="Times New Roman" w:eastAsiaTheme="minorEastAsia" w:hAnsi="Times New Roman" w:cs="Times New Roman"/>
          <w:color w:val="222222"/>
          <w:sz w:val="24"/>
          <w:szCs w:val="24"/>
          <w:shd w:val="clear" w:color="auto" w:fill="FFFFFF"/>
        </w:rPr>
        <w:t xml:space="preserve"> carburant.  </w:t>
      </w:r>
    </w:p>
    <w:p w14:paraId="3B26BD4D" w14:textId="77777777" w:rsidR="00F27F45" w:rsidRPr="00F27F45" w:rsidRDefault="00F27F45" w:rsidP="00F27F45">
      <w:pPr>
        <w:spacing w:line="240" w:lineRule="auto"/>
        <w:rPr>
          <w:rFonts w:asciiTheme="majorHAnsi" w:eastAsiaTheme="minorEastAsia" w:hAnsiTheme="majorHAnsi" w:cstheme="majorHAnsi"/>
          <w:b/>
          <w:iCs/>
          <w:color w:val="44546A" w:themeColor="text2"/>
          <w:sz w:val="20"/>
          <w:szCs w:val="20"/>
        </w:rPr>
      </w:pPr>
      <w:bookmarkStart w:id="40" w:name="_Toc136004716"/>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4</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rPr>
        <w:t>: Evolution du commerce de gros des produits pétroliers</w:t>
      </w:r>
      <w:bookmarkEnd w:id="38"/>
      <w:bookmarkEnd w:id="39"/>
      <w:bookmarkEnd w:id="40"/>
    </w:p>
    <w:p w14:paraId="5839113B" w14:textId="39D44D77" w:rsidR="00F27F45" w:rsidRPr="00F27F45" w:rsidRDefault="008F355A" w:rsidP="00F27F45">
      <w:pPr>
        <w:rPr>
          <w:rFonts w:eastAsiaTheme="minorEastAsia"/>
        </w:rPr>
      </w:pPr>
      <w:r>
        <w:rPr>
          <w:noProof/>
          <w:lang w:eastAsia="fr-FR"/>
        </w:rPr>
        <w:drawing>
          <wp:inline distT="0" distB="0" distL="0" distR="0" wp14:anchorId="20ACAAD8" wp14:editId="10F1E447">
            <wp:extent cx="5760720" cy="2609850"/>
            <wp:effectExtent l="0" t="0" r="11430" b="0"/>
            <wp:docPr id="42" name="Graphique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056F19B"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p>
    <w:p w14:paraId="427F93BC" w14:textId="77777777" w:rsidR="00F27F45" w:rsidRPr="00F27F45" w:rsidRDefault="00F27F45" w:rsidP="00F27F45">
      <w:pPr>
        <w:spacing w:line="360" w:lineRule="auto"/>
        <w:jc w:val="both"/>
        <w:rPr>
          <w:rFonts w:ascii="Cambria" w:eastAsiaTheme="minorEastAsia" w:hAnsi="Cambria"/>
          <w:b/>
        </w:rPr>
      </w:pPr>
    </w:p>
    <w:p w14:paraId="335377A1"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lang w:eastAsia="fr-FR"/>
        </w:rPr>
      </w:pPr>
      <w:bookmarkStart w:id="41" w:name="_Toc136004696"/>
      <w:r w:rsidRPr="00F27F45">
        <w:rPr>
          <w:rFonts w:ascii="Times New Roman" w:eastAsiaTheme="majorEastAsia" w:hAnsi="Times New Roman" w:cs="Times New Roman"/>
          <w:color w:val="1F4D78" w:themeColor="accent1" w:themeShade="7F"/>
          <w:sz w:val="24"/>
          <w:szCs w:val="24"/>
          <w:lang w:eastAsia="fr-FR"/>
        </w:rPr>
        <w:t>II.2.4 Commerce de gros des produits pharmaceutiques</w:t>
      </w:r>
      <w:bookmarkEnd w:id="41"/>
    </w:p>
    <w:p w14:paraId="24211748" w14:textId="5862D138" w:rsid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lang w:eastAsia="fr-FR"/>
        </w:rPr>
        <w:t xml:space="preserve">Le commerce de gros des produits pharmaceutiques au cours du premier trimestre 2023 se caractérise par une hausse de </w:t>
      </w:r>
      <w:r w:rsidR="0000194C">
        <w:rPr>
          <w:rFonts w:ascii="Times New Roman" w:eastAsiaTheme="minorEastAsia" w:hAnsi="Times New Roman" w:cs="Times New Roman"/>
          <w:sz w:val="24"/>
          <w:szCs w:val="24"/>
          <w:lang w:eastAsia="fr-FR"/>
        </w:rPr>
        <w:t>2</w:t>
      </w:r>
      <w:r w:rsidRPr="00F27F45">
        <w:rPr>
          <w:rFonts w:ascii="Times New Roman" w:eastAsiaTheme="minorEastAsia" w:hAnsi="Times New Roman" w:cs="Times New Roman"/>
          <w:sz w:val="24"/>
          <w:szCs w:val="24"/>
          <w:lang w:eastAsia="fr-FR"/>
        </w:rPr>
        <w:t>.</w:t>
      </w:r>
      <w:r w:rsidR="0000194C">
        <w:rPr>
          <w:rFonts w:ascii="Times New Roman" w:eastAsiaTheme="minorEastAsia" w:hAnsi="Times New Roman" w:cs="Times New Roman"/>
          <w:sz w:val="24"/>
          <w:szCs w:val="24"/>
          <w:lang w:eastAsia="fr-FR"/>
        </w:rPr>
        <w:t>3</w:t>
      </w:r>
      <w:r w:rsidRPr="00F27F45">
        <w:rPr>
          <w:rFonts w:ascii="Times New Roman" w:eastAsiaTheme="minorEastAsia" w:hAnsi="Times New Roman" w:cs="Times New Roman"/>
          <w:color w:val="222222"/>
          <w:sz w:val="24"/>
          <w:szCs w:val="24"/>
          <w:shd w:val="clear" w:color="auto" w:fill="FFFFFF"/>
        </w:rPr>
        <w:t xml:space="preserve">% en se référant au même trimestre de l’année précédente. </w:t>
      </w:r>
      <w:bookmarkStart w:id="42" w:name="_Toc4757517"/>
      <w:r w:rsidRPr="00F27F45">
        <w:rPr>
          <w:rFonts w:ascii="Times New Roman" w:eastAsiaTheme="minorEastAsia" w:hAnsi="Times New Roman" w:cs="Times New Roman"/>
          <w:sz w:val="24"/>
          <w:szCs w:val="24"/>
        </w:rPr>
        <w:t>L’activité pour cette branche évolue en dents de scie depuis le premier trimestre 2018 tout en enregistrant des croissances surtout au cours de l’année 2019. En revanche, cette branche enregistre des chutes au cours de l’année 2020 et les effets du Covid 19 seraient parmi les causes de cette chute d’activité. D'après le graphique, nous observons cependant une reprise de l'activité de cette branche depuis T1 2022.</w:t>
      </w:r>
    </w:p>
    <w:p w14:paraId="620135E5" w14:textId="1D80DACA" w:rsidR="00B0409D" w:rsidRDefault="00B0409D" w:rsidP="00F27F45">
      <w:pPr>
        <w:spacing w:line="360" w:lineRule="auto"/>
        <w:jc w:val="both"/>
        <w:rPr>
          <w:rFonts w:ascii="Times New Roman" w:eastAsiaTheme="minorEastAsia" w:hAnsi="Times New Roman" w:cs="Times New Roman"/>
          <w:sz w:val="24"/>
          <w:szCs w:val="24"/>
        </w:rPr>
      </w:pPr>
    </w:p>
    <w:p w14:paraId="73562E61" w14:textId="20E8D51A" w:rsidR="00B0409D" w:rsidRDefault="00B0409D" w:rsidP="00F27F45">
      <w:pPr>
        <w:spacing w:line="360" w:lineRule="auto"/>
        <w:jc w:val="both"/>
        <w:rPr>
          <w:rFonts w:ascii="Times New Roman" w:eastAsiaTheme="minorEastAsia" w:hAnsi="Times New Roman" w:cs="Times New Roman"/>
          <w:sz w:val="24"/>
          <w:szCs w:val="24"/>
        </w:rPr>
      </w:pPr>
    </w:p>
    <w:p w14:paraId="1F441C04" w14:textId="168CD9D4" w:rsidR="00B0409D" w:rsidRDefault="00B0409D" w:rsidP="00F27F45">
      <w:pPr>
        <w:spacing w:line="360" w:lineRule="auto"/>
        <w:jc w:val="both"/>
        <w:rPr>
          <w:rFonts w:ascii="Times New Roman" w:eastAsiaTheme="minorEastAsia" w:hAnsi="Times New Roman" w:cs="Times New Roman"/>
          <w:sz w:val="24"/>
          <w:szCs w:val="24"/>
        </w:rPr>
      </w:pPr>
    </w:p>
    <w:p w14:paraId="348D4FF7" w14:textId="2A89D160" w:rsidR="00B0409D" w:rsidRDefault="00B0409D" w:rsidP="00F27F45">
      <w:pPr>
        <w:spacing w:line="360" w:lineRule="auto"/>
        <w:jc w:val="both"/>
        <w:rPr>
          <w:rFonts w:ascii="Times New Roman" w:eastAsiaTheme="minorEastAsia" w:hAnsi="Times New Roman" w:cs="Times New Roman"/>
          <w:sz w:val="24"/>
          <w:szCs w:val="24"/>
        </w:rPr>
      </w:pPr>
    </w:p>
    <w:p w14:paraId="04322B1B" w14:textId="498EAD49" w:rsidR="00B0409D" w:rsidRDefault="00B0409D" w:rsidP="00F27F45">
      <w:pPr>
        <w:spacing w:line="360" w:lineRule="auto"/>
        <w:jc w:val="both"/>
        <w:rPr>
          <w:rFonts w:ascii="Times New Roman" w:eastAsiaTheme="minorEastAsia" w:hAnsi="Times New Roman" w:cs="Times New Roman"/>
          <w:sz w:val="24"/>
          <w:szCs w:val="24"/>
        </w:rPr>
      </w:pPr>
    </w:p>
    <w:p w14:paraId="019A9979" w14:textId="77777777" w:rsidR="00B0409D" w:rsidRPr="00F27F45" w:rsidRDefault="00B0409D" w:rsidP="00F27F45">
      <w:pPr>
        <w:spacing w:line="360" w:lineRule="auto"/>
        <w:jc w:val="both"/>
        <w:rPr>
          <w:rFonts w:ascii="Cambria" w:eastAsiaTheme="minorEastAsia" w:hAnsi="Cambria"/>
          <w:b/>
        </w:rPr>
      </w:pPr>
    </w:p>
    <w:p w14:paraId="69A691AB" w14:textId="207A449A" w:rsidR="00F27F45" w:rsidRPr="00F27F45" w:rsidRDefault="00F27F45" w:rsidP="00F27F45">
      <w:pPr>
        <w:spacing w:line="360" w:lineRule="auto"/>
        <w:jc w:val="both"/>
        <w:rPr>
          <w:rFonts w:ascii="Times New Roman" w:eastAsiaTheme="majorEastAsia" w:hAnsi="Times New Roman" w:cs="Times New Roman"/>
          <w:color w:val="1F4D78" w:themeColor="accent1" w:themeShade="7F"/>
          <w:sz w:val="24"/>
          <w:szCs w:val="24"/>
          <w:lang w:eastAsia="fr-FR"/>
        </w:rPr>
      </w:pPr>
      <w:bookmarkStart w:id="43" w:name="_Toc136004717"/>
      <w:r w:rsidRPr="00F27F45">
        <w:rPr>
          <w:rFonts w:ascii="Times New Roman" w:eastAsiaTheme="majorEastAsia" w:hAnsi="Times New Roman" w:cs="Times New Roman"/>
          <w:color w:val="1F4D78" w:themeColor="accent1" w:themeShade="7F"/>
          <w:sz w:val="24"/>
          <w:szCs w:val="24"/>
          <w:lang w:eastAsia="fr-FR"/>
        </w:rPr>
        <w:t xml:space="preserve">Graphique </w:t>
      </w:r>
      <w:r w:rsidRPr="00F27F45">
        <w:rPr>
          <w:rFonts w:ascii="Times New Roman" w:eastAsiaTheme="majorEastAsia" w:hAnsi="Times New Roman" w:cs="Times New Roman"/>
          <w:color w:val="1F4D78" w:themeColor="accent1" w:themeShade="7F"/>
          <w:sz w:val="24"/>
          <w:szCs w:val="24"/>
          <w:lang w:eastAsia="fr-FR"/>
        </w:rPr>
        <w:fldChar w:fldCharType="begin"/>
      </w:r>
      <w:r w:rsidRPr="00F27F45">
        <w:rPr>
          <w:rFonts w:ascii="Times New Roman" w:eastAsiaTheme="majorEastAsia" w:hAnsi="Times New Roman" w:cs="Times New Roman"/>
          <w:color w:val="1F4D78" w:themeColor="accent1" w:themeShade="7F"/>
          <w:sz w:val="24"/>
          <w:szCs w:val="24"/>
          <w:lang w:eastAsia="fr-FR"/>
        </w:rPr>
        <w:instrText xml:space="preserve"> SEQ Graphique \* ARABIC </w:instrText>
      </w:r>
      <w:r w:rsidRPr="00F27F45">
        <w:rPr>
          <w:rFonts w:ascii="Times New Roman" w:eastAsiaTheme="majorEastAsia" w:hAnsi="Times New Roman" w:cs="Times New Roman"/>
          <w:color w:val="1F4D78" w:themeColor="accent1" w:themeShade="7F"/>
          <w:sz w:val="24"/>
          <w:szCs w:val="24"/>
          <w:lang w:eastAsia="fr-FR"/>
        </w:rPr>
        <w:fldChar w:fldCharType="separate"/>
      </w:r>
      <w:r w:rsidRPr="00F27F45">
        <w:rPr>
          <w:rFonts w:ascii="Times New Roman" w:eastAsiaTheme="majorEastAsia" w:hAnsi="Times New Roman" w:cs="Times New Roman"/>
          <w:color w:val="1F4D78" w:themeColor="accent1" w:themeShade="7F"/>
          <w:sz w:val="24"/>
          <w:szCs w:val="24"/>
          <w:lang w:eastAsia="fr-FR"/>
        </w:rPr>
        <w:t>5</w:t>
      </w:r>
      <w:r w:rsidRPr="00F27F45">
        <w:rPr>
          <w:rFonts w:ascii="Times New Roman" w:eastAsiaTheme="majorEastAsia" w:hAnsi="Times New Roman" w:cs="Times New Roman"/>
          <w:color w:val="1F4D78" w:themeColor="accent1" w:themeShade="7F"/>
          <w:sz w:val="24"/>
          <w:szCs w:val="24"/>
          <w:lang w:eastAsia="fr-FR"/>
        </w:rPr>
        <w:fldChar w:fldCharType="end"/>
      </w:r>
      <w:r w:rsidRPr="00F27F45">
        <w:rPr>
          <w:rFonts w:ascii="Times New Roman" w:eastAsiaTheme="majorEastAsia" w:hAnsi="Times New Roman" w:cs="Times New Roman"/>
          <w:color w:val="1F4D78" w:themeColor="accent1" w:themeShade="7F"/>
          <w:sz w:val="24"/>
          <w:szCs w:val="24"/>
          <w:lang w:eastAsia="fr-FR"/>
        </w:rPr>
        <w:t>: Evolution du commerce de gros des produits pharmaceutiques</w:t>
      </w:r>
      <w:bookmarkEnd w:id="42"/>
      <w:bookmarkEnd w:id="43"/>
    </w:p>
    <w:p w14:paraId="362F44EF" w14:textId="55A23C41" w:rsidR="00F27F45" w:rsidRPr="00F27F45" w:rsidRDefault="006B2DE9" w:rsidP="00F27F45">
      <w:pPr>
        <w:spacing w:line="360" w:lineRule="auto"/>
        <w:jc w:val="both"/>
        <w:rPr>
          <w:rFonts w:ascii="Times New Roman" w:eastAsiaTheme="majorEastAsia" w:hAnsi="Times New Roman" w:cs="Times New Roman"/>
          <w:color w:val="1F4D78" w:themeColor="accent1" w:themeShade="7F"/>
          <w:sz w:val="24"/>
          <w:szCs w:val="24"/>
          <w:lang w:eastAsia="fr-FR"/>
        </w:rPr>
      </w:pPr>
      <w:r>
        <w:rPr>
          <w:noProof/>
          <w:lang w:eastAsia="fr-FR"/>
        </w:rPr>
        <w:drawing>
          <wp:inline distT="0" distB="0" distL="0" distR="0" wp14:anchorId="4BEE6480" wp14:editId="13926901">
            <wp:extent cx="5784850" cy="3753757"/>
            <wp:effectExtent l="0" t="0" r="6350" b="18415"/>
            <wp:docPr id="2" name="Chart 2">
              <a:extLst xmlns:a="http://schemas.openxmlformats.org/drawingml/2006/main">
                <a:ext uri="{FF2B5EF4-FFF2-40B4-BE49-F238E27FC236}">
                  <a16:creationId xmlns:a16="http://schemas.microsoft.com/office/drawing/2014/main" id="{8441F7A4-2AA4-7D6B-366A-5A12A3D520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E74494F"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p>
    <w:p w14:paraId="5E2D3649"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lang w:eastAsia="fr-FR"/>
        </w:rPr>
      </w:pPr>
      <w:bookmarkStart w:id="44" w:name="_Toc136004697"/>
      <w:r w:rsidRPr="00F27F45">
        <w:rPr>
          <w:rFonts w:ascii="Times New Roman" w:eastAsiaTheme="majorEastAsia" w:hAnsi="Times New Roman" w:cs="Times New Roman"/>
          <w:color w:val="1F4D78" w:themeColor="accent1" w:themeShade="7F"/>
          <w:sz w:val="24"/>
          <w:szCs w:val="24"/>
          <w:lang w:eastAsia="fr-FR"/>
        </w:rPr>
        <w:t>II.2.5 Commerce de détail</w:t>
      </w:r>
      <w:bookmarkEnd w:id="44"/>
    </w:p>
    <w:p w14:paraId="07887F84" w14:textId="2C573EFE" w:rsidR="00F27F45" w:rsidRDefault="00F27F45" w:rsidP="00F27F45">
      <w:pPr>
        <w:spacing w:line="360" w:lineRule="auto"/>
        <w:jc w:val="both"/>
        <w:rPr>
          <w:rFonts w:ascii="Times New Roman" w:eastAsiaTheme="minorEastAsia" w:hAnsi="Times New Roman" w:cs="Times New Roman"/>
          <w:color w:val="222222"/>
          <w:sz w:val="24"/>
          <w:szCs w:val="24"/>
          <w:shd w:val="clear" w:color="auto" w:fill="FFFFFF"/>
        </w:rPr>
      </w:pPr>
      <w:r w:rsidRPr="00F27F45">
        <w:rPr>
          <w:rFonts w:ascii="Times New Roman" w:eastAsiaTheme="minorEastAsia" w:hAnsi="Times New Roman" w:cs="Times New Roman"/>
          <w:sz w:val="24"/>
          <w:szCs w:val="24"/>
          <w:lang w:eastAsia="fr-FR"/>
        </w:rPr>
        <w:t xml:space="preserve">Le secteur du commerce de détail au cours du troisième trimestre 2022 a connu une baisse de </w:t>
      </w:r>
      <w:r w:rsidR="005B63B3">
        <w:rPr>
          <w:rFonts w:ascii="Times New Roman" w:eastAsiaTheme="minorEastAsia" w:hAnsi="Times New Roman" w:cs="Times New Roman"/>
          <w:sz w:val="24"/>
          <w:szCs w:val="24"/>
          <w:lang w:eastAsia="fr-FR"/>
        </w:rPr>
        <w:t>0</w:t>
      </w:r>
      <w:r w:rsidR="002869DB">
        <w:rPr>
          <w:rFonts w:ascii="Times New Roman" w:eastAsiaTheme="minorEastAsia" w:hAnsi="Times New Roman" w:cs="Times New Roman"/>
          <w:sz w:val="24"/>
          <w:szCs w:val="24"/>
          <w:lang w:eastAsia="fr-FR"/>
        </w:rPr>
        <w:t>.</w:t>
      </w:r>
      <w:r w:rsidR="005B63B3">
        <w:rPr>
          <w:rFonts w:ascii="Times New Roman" w:eastAsiaTheme="minorEastAsia" w:hAnsi="Times New Roman" w:cs="Times New Roman"/>
          <w:sz w:val="24"/>
          <w:szCs w:val="24"/>
          <w:lang w:eastAsia="fr-FR"/>
        </w:rPr>
        <w:t>9</w:t>
      </w:r>
      <w:r w:rsidRPr="00F27F45">
        <w:rPr>
          <w:rFonts w:ascii="Times New Roman" w:eastAsiaTheme="minorEastAsia" w:hAnsi="Times New Roman" w:cs="Times New Roman"/>
          <w:color w:val="222222"/>
          <w:sz w:val="24"/>
          <w:szCs w:val="24"/>
          <w:shd w:val="clear" w:color="auto" w:fill="FFFFFF"/>
        </w:rPr>
        <w:t xml:space="preserve">% en glissement annuel. </w:t>
      </w:r>
      <w:bookmarkStart w:id="45" w:name="_Toc4757518"/>
      <w:r w:rsidRPr="00F27F45">
        <w:rPr>
          <w:rFonts w:ascii="Times New Roman" w:eastAsiaTheme="minorEastAsia" w:hAnsi="Times New Roman" w:cs="Times New Roman"/>
          <w:color w:val="222222"/>
          <w:sz w:val="24"/>
          <w:szCs w:val="24"/>
          <w:shd w:val="clear" w:color="auto" w:fill="FFFFFF"/>
        </w:rPr>
        <w:t xml:space="preserve">En effet c’est le commerce de détail en magasin spécialisé qui a enregistré la totalité de cette </w:t>
      </w:r>
      <w:r w:rsidR="00794362" w:rsidRPr="00F27F45">
        <w:rPr>
          <w:rFonts w:ascii="Times New Roman" w:eastAsiaTheme="minorEastAsia" w:hAnsi="Times New Roman" w:cs="Times New Roman"/>
          <w:color w:val="222222"/>
          <w:sz w:val="24"/>
          <w:szCs w:val="24"/>
          <w:shd w:val="clear" w:color="auto" w:fill="FFFFFF"/>
        </w:rPr>
        <w:t>baisse alors</w:t>
      </w:r>
      <w:r w:rsidRPr="00F27F45">
        <w:rPr>
          <w:rFonts w:ascii="Times New Roman" w:eastAsiaTheme="minorEastAsia" w:hAnsi="Times New Roman" w:cs="Times New Roman"/>
          <w:color w:val="222222"/>
          <w:sz w:val="24"/>
          <w:szCs w:val="24"/>
          <w:shd w:val="clear" w:color="auto" w:fill="FFFFFF"/>
        </w:rPr>
        <w:t xml:space="preserve"> que </w:t>
      </w:r>
      <w:r w:rsidR="00794362" w:rsidRPr="00F27F45">
        <w:rPr>
          <w:rFonts w:ascii="Times New Roman" w:eastAsiaTheme="minorEastAsia" w:hAnsi="Times New Roman" w:cs="Times New Roman"/>
          <w:color w:val="222222"/>
          <w:sz w:val="24"/>
          <w:szCs w:val="24"/>
          <w:shd w:val="clear" w:color="auto" w:fill="FFFFFF"/>
        </w:rPr>
        <w:t>le commerce</w:t>
      </w:r>
      <w:r w:rsidRPr="00F27F45">
        <w:rPr>
          <w:rFonts w:ascii="Times New Roman" w:eastAsiaTheme="minorEastAsia" w:hAnsi="Times New Roman" w:cs="Times New Roman"/>
          <w:color w:val="222222"/>
          <w:sz w:val="24"/>
          <w:szCs w:val="24"/>
          <w:shd w:val="clear" w:color="auto" w:fill="FFFFFF"/>
        </w:rPr>
        <w:t xml:space="preserve"> de détail en magasin non spécialisé qui a enregistré un taux de croissance nul. Cette baisse s’expliquerait par le taux d’inflation due à la hausse des prix du carburant et la hausse des denrées alimentaires. </w:t>
      </w:r>
    </w:p>
    <w:p w14:paraId="6AE19745" w14:textId="3AF15960" w:rsidR="00B0409D" w:rsidRDefault="00B0409D" w:rsidP="00F27F45">
      <w:pPr>
        <w:spacing w:line="360" w:lineRule="auto"/>
        <w:jc w:val="both"/>
        <w:rPr>
          <w:rFonts w:ascii="Times New Roman" w:eastAsiaTheme="minorEastAsia" w:hAnsi="Times New Roman" w:cs="Times New Roman"/>
          <w:color w:val="222222"/>
          <w:sz w:val="24"/>
          <w:szCs w:val="24"/>
          <w:shd w:val="clear" w:color="auto" w:fill="FFFFFF"/>
        </w:rPr>
      </w:pPr>
    </w:p>
    <w:p w14:paraId="5C4FF40D" w14:textId="77777777" w:rsidR="00F27F45" w:rsidRPr="00F27F45" w:rsidRDefault="00F27F45" w:rsidP="00F27F45">
      <w:pPr>
        <w:spacing w:line="360" w:lineRule="auto"/>
        <w:jc w:val="both"/>
        <w:rPr>
          <w:rFonts w:asciiTheme="majorHAnsi" w:eastAsiaTheme="minorEastAsia" w:hAnsiTheme="majorHAnsi" w:cstheme="majorHAnsi"/>
          <w:b/>
          <w:sz w:val="20"/>
          <w:szCs w:val="20"/>
        </w:rPr>
      </w:pPr>
      <w:bookmarkStart w:id="46" w:name="_Toc136004718"/>
      <w:r w:rsidRPr="00F27F45">
        <w:rPr>
          <w:rFonts w:asciiTheme="majorHAnsi" w:eastAsiaTheme="minorEastAsia" w:hAnsiTheme="majorHAnsi" w:cstheme="majorHAnsi"/>
          <w:b/>
          <w:sz w:val="20"/>
          <w:szCs w:val="20"/>
        </w:rPr>
        <w:t xml:space="preserve">Graphique </w:t>
      </w:r>
      <w:r w:rsidRPr="00F27F45">
        <w:rPr>
          <w:rFonts w:asciiTheme="majorHAnsi" w:eastAsiaTheme="minorEastAsia" w:hAnsiTheme="majorHAnsi" w:cstheme="majorHAnsi"/>
          <w:b/>
          <w:i/>
          <w:sz w:val="20"/>
          <w:szCs w:val="20"/>
        </w:rPr>
        <w:fldChar w:fldCharType="begin"/>
      </w:r>
      <w:r w:rsidRPr="00F27F45">
        <w:rPr>
          <w:rFonts w:asciiTheme="majorHAnsi" w:eastAsiaTheme="minorEastAsia" w:hAnsiTheme="majorHAnsi" w:cstheme="majorHAnsi"/>
          <w:b/>
          <w:sz w:val="20"/>
          <w:szCs w:val="20"/>
        </w:rPr>
        <w:instrText xml:space="preserve"> SEQ Graphique \* ARABIC </w:instrText>
      </w:r>
      <w:r w:rsidRPr="00F27F45">
        <w:rPr>
          <w:rFonts w:asciiTheme="majorHAnsi" w:eastAsiaTheme="minorEastAsia" w:hAnsiTheme="majorHAnsi" w:cstheme="majorHAnsi"/>
          <w:b/>
          <w:i/>
          <w:sz w:val="20"/>
          <w:szCs w:val="20"/>
        </w:rPr>
        <w:fldChar w:fldCharType="separate"/>
      </w:r>
      <w:r w:rsidRPr="00F27F45">
        <w:rPr>
          <w:rFonts w:asciiTheme="majorHAnsi" w:eastAsiaTheme="minorEastAsia" w:hAnsiTheme="majorHAnsi" w:cstheme="majorHAnsi"/>
          <w:b/>
          <w:noProof/>
          <w:sz w:val="20"/>
          <w:szCs w:val="20"/>
        </w:rPr>
        <w:t>6</w:t>
      </w:r>
      <w:r w:rsidRPr="00F27F45">
        <w:rPr>
          <w:rFonts w:asciiTheme="majorHAnsi" w:eastAsiaTheme="minorEastAsia" w:hAnsiTheme="majorHAnsi" w:cstheme="majorHAnsi"/>
          <w:b/>
          <w:i/>
          <w:sz w:val="20"/>
          <w:szCs w:val="20"/>
        </w:rPr>
        <w:fldChar w:fldCharType="end"/>
      </w:r>
      <w:r w:rsidRPr="00F27F45">
        <w:rPr>
          <w:rFonts w:asciiTheme="majorHAnsi" w:eastAsiaTheme="minorEastAsia" w:hAnsiTheme="majorHAnsi" w:cstheme="majorHAnsi"/>
          <w:b/>
          <w:sz w:val="20"/>
          <w:szCs w:val="20"/>
        </w:rPr>
        <w:t>: Evolution du commerce de détail</w:t>
      </w:r>
      <w:bookmarkEnd w:id="45"/>
      <w:bookmarkEnd w:id="46"/>
    </w:p>
    <w:p w14:paraId="02527AD5" w14:textId="46067B27" w:rsidR="00F27F45" w:rsidRPr="00F27F45" w:rsidRDefault="008F355A" w:rsidP="00F27F45">
      <w:pPr>
        <w:spacing w:line="360" w:lineRule="auto"/>
        <w:jc w:val="both"/>
        <w:rPr>
          <w:rFonts w:asciiTheme="majorHAnsi" w:eastAsiaTheme="minorEastAsia" w:hAnsiTheme="majorHAnsi" w:cstheme="majorHAnsi"/>
          <w:b/>
          <w:sz w:val="20"/>
          <w:szCs w:val="20"/>
        </w:rPr>
      </w:pPr>
      <w:r>
        <w:rPr>
          <w:noProof/>
          <w:lang w:eastAsia="fr-FR"/>
        </w:rPr>
        <w:lastRenderedPageBreak/>
        <w:drawing>
          <wp:inline distT="0" distB="0" distL="0" distR="0" wp14:anchorId="01AF6236" wp14:editId="4912123A">
            <wp:extent cx="5324475" cy="2457450"/>
            <wp:effectExtent l="0" t="0" r="9525" b="0"/>
            <wp:docPr id="44" name="Graphique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13EE445"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p>
    <w:p w14:paraId="54C7E8F5" w14:textId="77777777" w:rsidR="00F27F45" w:rsidRPr="00F27F45" w:rsidRDefault="00F27F45" w:rsidP="00F27F45">
      <w:pPr>
        <w:keepNext/>
        <w:spacing w:before="240" w:after="60" w:line="360" w:lineRule="auto"/>
        <w:jc w:val="center"/>
        <w:outlineLvl w:val="0"/>
        <w:rPr>
          <w:rFonts w:ascii="Times New Roman" w:eastAsiaTheme="majorEastAsia" w:hAnsi="Times New Roman" w:cs="Times New Roman"/>
          <w:b/>
          <w:bCs/>
          <w:color w:val="0070C0"/>
          <w:kern w:val="32"/>
          <w:sz w:val="28"/>
          <w:szCs w:val="28"/>
          <w:lang w:eastAsia="fr-FR"/>
        </w:rPr>
      </w:pPr>
      <w:bookmarkStart w:id="47" w:name="_Toc530553254"/>
      <w:bookmarkStart w:id="48" w:name="_Toc136004698"/>
      <w:r w:rsidRPr="00F27F45">
        <w:rPr>
          <w:rFonts w:ascii="Times New Roman" w:eastAsiaTheme="majorEastAsia" w:hAnsi="Times New Roman" w:cs="Times New Roman"/>
          <w:b/>
          <w:bCs/>
          <w:color w:val="0070C0"/>
          <w:kern w:val="32"/>
          <w:sz w:val="28"/>
          <w:szCs w:val="28"/>
          <w:lang w:eastAsia="fr-FR"/>
        </w:rPr>
        <w:t xml:space="preserve">III. </w:t>
      </w:r>
      <w:bookmarkEnd w:id="47"/>
      <w:r w:rsidRPr="00F27F45">
        <w:rPr>
          <w:rFonts w:ascii="Times New Roman" w:eastAsiaTheme="majorEastAsia" w:hAnsi="Times New Roman" w:cs="Times New Roman"/>
          <w:b/>
          <w:bCs/>
          <w:color w:val="0070C0"/>
          <w:kern w:val="32"/>
          <w:sz w:val="28"/>
          <w:szCs w:val="28"/>
          <w:lang w:eastAsia="fr-FR"/>
        </w:rPr>
        <w:t>Analyse de l’évolution du volume d’activité dans le secteur « Services »</w:t>
      </w:r>
      <w:bookmarkEnd w:id="48"/>
    </w:p>
    <w:p w14:paraId="1440F133" w14:textId="77777777" w:rsidR="00F27F45" w:rsidRPr="00F27F45" w:rsidRDefault="00F27F45" w:rsidP="00F27F45">
      <w:pPr>
        <w:keepNext/>
        <w:keepLines/>
        <w:spacing w:before="40" w:after="0" w:line="480" w:lineRule="auto"/>
        <w:outlineLvl w:val="1"/>
        <w:rPr>
          <w:rFonts w:ascii="Times New Roman" w:eastAsiaTheme="majorEastAsia" w:hAnsi="Times New Roman" w:cs="Times New Roman"/>
          <w:color w:val="2E74B5" w:themeColor="accent1" w:themeShade="BF"/>
          <w:sz w:val="24"/>
          <w:szCs w:val="24"/>
          <w:shd w:val="clear" w:color="auto" w:fill="FFFFFF"/>
        </w:rPr>
      </w:pPr>
      <w:bookmarkStart w:id="49" w:name="_Toc530553255"/>
      <w:bookmarkStart w:id="50" w:name="_Toc136004699"/>
      <w:r w:rsidRPr="00F27F45">
        <w:rPr>
          <w:rFonts w:ascii="Times New Roman" w:eastAsiaTheme="majorEastAsia" w:hAnsi="Times New Roman" w:cs="Times New Roman"/>
          <w:color w:val="2E74B5" w:themeColor="accent1" w:themeShade="BF"/>
          <w:sz w:val="24"/>
          <w:szCs w:val="24"/>
          <w:shd w:val="clear" w:color="auto" w:fill="FFFFFF"/>
        </w:rPr>
        <w:t xml:space="preserve">III.1. </w:t>
      </w:r>
      <w:bookmarkEnd w:id="49"/>
      <w:r w:rsidRPr="00F27F45">
        <w:rPr>
          <w:rFonts w:ascii="Times New Roman" w:eastAsiaTheme="majorEastAsia" w:hAnsi="Times New Roman" w:cs="Times New Roman"/>
          <w:color w:val="2E74B5" w:themeColor="accent1" w:themeShade="BF"/>
          <w:sz w:val="24"/>
          <w:szCs w:val="24"/>
          <w:shd w:val="clear" w:color="auto" w:fill="FFFFFF"/>
        </w:rPr>
        <w:t>Analyse globale de l’évolution du volume d’activité dans le secteur des services</w:t>
      </w:r>
      <w:bookmarkEnd w:id="50"/>
    </w:p>
    <w:p w14:paraId="1A71DE1D" w14:textId="57946813" w:rsidR="00F27F45" w:rsidRPr="00F27F45" w:rsidRDefault="00F27F45" w:rsidP="00F27F45">
      <w:pPr>
        <w:spacing w:after="0" w:line="240" w:lineRule="auto"/>
        <w:ind w:firstLineChars="100" w:firstLine="240"/>
        <w:jc w:val="both"/>
        <w:rPr>
          <w:rFonts w:ascii="Arial Black" w:eastAsia="Times New Roman" w:hAnsi="Arial Black" w:cs="Calibri"/>
          <w:sz w:val="20"/>
          <w:szCs w:val="20"/>
          <w:lang w:eastAsia="ko-KR"/>
        </w:rPr>
      </w:pPr>
      <w:r w:rsidRPr="00F27F45">
        <w:rPr>
          <w:rFonts w:ascii="Times New Roman" w:eastAsiaTheme="minorEastAsia" w:hAnsi="Times New Roman" w:cs="Times New Roman"/>
          <w:sz w:val="24"/>
          <w:szCs w:val="24"/>
          <w:lang w:eastAsia="fr-FR"/>
        </w:rPr>
        <w:t>L’analyse globale de l’activité économique du secteur des services au Burundi est marquée par une hausse de 2</w:t>
      </w:r>
      <w:r w:rsidR="00716A1F">
        <w:rPr>
          <w:rFonts w:ascii="Times New Roman" w:eastAsiaTheme="minorEastAsia" w:hAnsi="Times New Roman" w:cs="Times New Roman"/>
          <w:sz w:val="24"/>
          <w:szCs w:val="24"/>
          <w:lang w:eastAsia="fr-FR"/>
        </w:rPr>
        <w:t>0</w:t>
      </w:r>
      <w:r w:rsidRPr="00F27F45">
        <w:rPr>
          <w:rFonts w:ascii="Times New Roman" w:eastAsiaTheme="minorEastAsia" w:hAnsi="Times New Roman" w:cs="Times New Roman"/>
          <w:sz w:val="24"/>
          <w:szCs w:val="24"/>
          <w:lang w:eastAsia="fr-FR"/>
        </w:rPr>
        <w:t>.</w:t>
      </w:r>
      <w:r w:rsidR="00716A1F">
        <w:rPr>
          <w:rFonts w:ascii="Times New Roman" w:eastAsiaTheme="minorEastAsia" w:hAnsi="Times New Roman" w:cs="Times New Roman"/>
          <w:sz w:val="24"/>
          <w:szCs w:val="24"/>
          <w:lang w:eastAsia="fr-FR"/>
        </w:rPr>
        <w:t>0</w:t>
      </w:r>
      <w:r w:rsidRPr="00F27F45">
        <w:rPr>
          <w:rFonts w:ascii="Times New Roman" w:eastAsiaTheme="minorEastAsia" w:hAnsi="Times New Roman" w:cs="Times New Roman"/>
          <w:sz w:val="24"/>
          <w:szCs w:val="24"/>
          <w:lang w:eastAsia="fr-FR"/>
        </w:rPr>
        <w:t>% au premier trimestre 2023 comparativement à la même période de 2022</w:t>
      </w:r>
      <w:r w:rsidR="00716A1F">
        <w:rPr>
          <w:rFonts w:ascii="Times New Roman" w:eastAsiaTheme="minorEastAsia" w:hAnsi="Times New Roman" w:cs="Times New Roman"/>
          <w:sz w:val="24"/>
          <w:szCs w:val="24"/>
          <w:lang w:eastAsia="fr-FR"/>
        </w:rPr>
        <w:t xml:space="preserve"> avec une contribution de 4.7%</w:t>
      </w:r>
      <w:r w:rsidRPr="00F27F45">
        <w:rPr>
          <w:rFonts w:ascii="Times New Roman" w:eastAsiaTheme="minorEastAsia" w:hAnsi="Times New Roman" w:cs="Times New Roman"/>
          <w:sz w:val="24"/>
          <w:szCs w:val="24"/>
          <w:lang w:eastAsia="fr-FR"/>
        </w:rPr>
        <w:t>. En effet, les secteurs qui ont plus contribué à la hausse de cet indice sont le secteur de</w:t>
      </w:r>
      <w:r w:rsidR="00716A1F">
        <w:rPr>
          <w:rFonts w:ascii="Times New Roman" w:eastAsiaTheme="minorEastAsia" w:hAnsi="Times New Roman" w:cs="Times New Roman"/>
          <w:sz w:val="24"/>
          <w:szCs w:val="24"/>
          <w:lang w:eastAsia="fr-FR"/>
        </w:rPr>
        <w:t xml:space="preserve"> finance et assurance, information et communication et transport, hébergement et restauration, activités artistiques, sportive et récréatives et enfin activité des services de soutien et des bureaux contribuant respectivement de  </w:t>
      </w:r>
      <w:r w:rsidRPr="00F27F45">
        <w:rPr>
          <w:rFonts w:ascii="Times New Roman" w:eastAsiaTheme="minorEastAsia" w:hAnsi="Times New Roman" w:cs="Times New Roman"/>
          <w:sz w:val="24"/>
          <w:szCs w:val="24"/>
          <w:lang w:eastAsia="fr-FR"/>
        </w:rPr>
        <w:t xml:space="preserve"> </w:t>
      </w:r>
      <w:r w:rsidR="00716A1F">
        <w:rPr>
          <w:rFonts w:ascii="Times New Roman" w:eastAsiaTheme="minorEastAsia" w:hAnsi="Times New Roman" w:cs="Times New Roman"/>
          <w:sz w:val="24"/>
          <w:szCs w:val="24"/>
          <w:lang w:eastAsia="fr-FR"/>
        </w:rPr>
        <w:t>2.0%, 1.4%, 0.8%, 0.5%, 0.3% et 0.1%.</w:t>
      </w:r>
    </w:p>
    <w:p w14:paraId="1D62B4EF" w14:textId="36BB1397" w:rsidR="00F27F45" w:rsidRPr="00F27F45" w:rsidRDefault="00F27F45" w:rsidP="00F27F45">
      <w:pPr>
        <w:spacing w:line="360" w:lineRule="auto"/>
        <w:jc w:val="both"/>
        <w:rPr>
          <w:rFonts w:ascii="Times New Roman" w:eastAsiaTheme="minorEastAsia" w:hAnsi="Times New Roman" w:cs="Times New Roman"/>
          <w:sz w:val="24"/>
          <w:szCs w:val="24"/>
          <w:lang w:eastAsia="fr-FR"/>
        </w:rPr>
      </w:pPr>
      <w:r w:rsidRPr="00F27F45">
        <w:rPr>
          <w:rFonts w:ascii="Times New Roman" w:eastAsiaTheme="minorEastAsia" w:hAnsi="Times New Roman" w:cs="Times New Roman"/>
          <w:sz w:val="24"/>
          <w:szCs w:val="24"/>
          <w:lang w:eastAsia="fr-FR"/>
        </w:rPr>
        <w:t xml:space="preserve"> Les autres secteurs ont enregistré une </w:t>
      </w:r>
      <w:r w:rsidR="00716A1F">
        <w:rPr>
          <w:rFonts w:ascii="Times New Roman" w:eastAsiaTheme="minorEastAsia" w:hAnsi="Times New Roman" w:cs="Times New Roman"/>
          <w:sz w:val="24"/>
          <w:szCs w:val="24"/>
          <w:lang w:eastAsia="fr-FR"/>
        </w:rPr>
        <w:t>contribution.</w:t>
      </w:r>
    </w:p>
    <w:p w14:paraId="6EC409B7" w14:textId="77777777" w:rsidR="00F27F45" w:rsidRPr="00F27F45" w:rsidRDefault="00F27F45" w:rsidP="00F27F45">
      <w:pPr>
        <w:spacing w:line="240" w:lineRule="auto"/>
        <w:rPr>
          <w:rFonts w:asciiTheme="majorHAnsi" w:eastAsiaTheme="minorEastAsia" w:hAnsiTheme="majorHAnsi" w:cstheme="majorHAnsi"/>
          <w:b/>
          <w:iCs/>
          <w:color w:val="44546A" w:themeColor="text2"/>
          <w:sz w:val="20"/>
          <w:szCs w:val="20"/>
        </w:rPr>
      </w:pPr>
      <w:bookmarkStart w:id="51" w:name="_Toc4687163"/>
      <w:bookmarkStart w:id="52" w:name="_Toc4747544"/>
      <w:bookmarkStart w:id="53" w:name="_Toc4748556"/>
      <w:bookmarkStart w:id="54" w:name="_Toc4757519"/>
    </w:p>
    <w:p w14:paraId="61464591" w14:textId="3CD67D76" w:rsidR="00F27F45" w:rsidRPr="00F27F45" w:rsidRDefault="00F27F45" w:rsidP="00F27F45">
      <w:pPr>
        <w:spacing w:line="240" w:lineRule="auto"/>
        <w:rPr>
          <w:rFonts w:asciiTheme="majorHAnsi" w:eastAsiaTheme="minorEastAsia" w:hAnsiTheme="majorHAnsi" w:cstheme="majorHAnsi"/>
          <w:b/>
          <w:iCs/>
          <w:color w:val="44546A" w:themeColor="text2"/>
          <w:sz w:val="20"/>
          <w:szCs w:val="20"/>
        </w:rPr>
      </w:pPr>
      <w:bookmarkStart w:id="55" w:name="_Toc136004719"/>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color w:val="44546A" w:themeColor="text2"/>
          <w:sz w:val="20"/>
          <w:szCs w:val="20"/>
        </w:rPr>
        <w:t>7</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rPr>
        <w:t>: Evolution de l'Indice du chiffre d'affaires de T1-2018 à T2-2022 (Volet Services)</w:t>
      </w:r>
      <w:bookmarkEnd w:id="51"/>
      <w:bookmarkEnd w:id="52"/>
      <w:bookmarkEnd w:id="53"/>
      <w:bookmarkEnd w:id="54"/>
      <w:bookmarkEnd w:id="55"/>
    </w:p>
    <w:p w14:paraId="5FE7A79C" w14:textId="77777777" w:rsidR="00F27F45" w:rsidRPr="00F27F45" w:rsidRDefault="00F27F45" w:rsidP="00F27F45">
      <w:pPr>
        <w:rPr>
          <w:rFonts w:eastAsiaTheme="minorEastAsia"/>
        </w:rPr>
      </w:pPr>
      <w:r w:rsidRPr="00F27F45">
        <w:rPr>
          <w:rFonts w:eastAsiaTheme="minorEastAsia"/>
          <w:noProof/>
          <w:lang w:eastAsia="fr-FR"/>
        </w:rPr>
        <w:lastRenderedPageBreak/>
        <w:drawing>
          <wp:inline distT="0" distB="0" distL="0" distR="0" wp14:anchorId="262F2014" wp14:editId="252D0068">
            <wp:extent cx="5181600" cy="3200400"/>
            <wp:effectExtent l="0" t="0" r="0" b="0"/>
            <wp:docPr id="24" name="Chart 26">
              <a:extLst xmlns:a="http://schemas.openxmlformats.org/drawingml/2006/main">
                <a:ext uri="{FF2B5EF4-FFF2-40B4-BE49-F238E27FC236}">
                  <a16:creationId xmlns:a16="http://schemas.microsoft.com/office/drawing/2014/main" id="{E724AE6D-3FA5-544D-E216-628AAA1A55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5160701" w14:textId="77777777" w:rsidR="00F27F45" w:rsidRPr="00F27F45" w:rsidRDefault="00F27F45" w:rsidP="00F27F45">
      <w:pPr>
        <w:spacing w:line="360" w:lineRule="auto"/>
        <w:jc w:val="both"/>
        <w:rPr>
          <w:rFonts w:ascii="Times New Roman" w:eastAsiaTheme="minorEastAsia" w:hAnsi="Times New Roman" w:cs="Times New Roman"/>
          <w:sz w:val="24"/>
          <w:szCs w:val="24"/>
          <w:lang w:eastAsia="fr-FR"/>
        </w:rPr>
      </w:pPr>
      <w:r w:rsidRPr="00F27F45">
        <w:rPr>
          <w:rFonts w:ascii="Cambria" w:eastAsiaTheme="minorEastAsia" w:hAnsi="Cambria"/>
          <w:b/>
        </w:rPr>
        <w:t>Source : INSBU, calcul de l’ICA, base 2018=100</w:t>
      </w:r>
    </w:p>
    <w:p w14:paraId="49178A74" w14:textId="77777777" w:rsidR="00F27F45" w:rsidRPr="00F27F45" w:rsidRDefault="00F27F45" w:rsidP="00F27F45">
      <w:pPr>
        <w:spacing w:line="360" w:lineRule="auto"/>
        <w:jc w:val="both"/>
        <w:rPr>
          <w:rFonts w:asciiTheme="minorBidi" w:eastAsiaTheme="minorEastAsia" w:hAnsiTheme="minorBidi"/>
          <w:sz w:val="24"/>
          <w:szCs w:val="24"/>
        </w:rPr>
      </w:pPr>
      <w:bookmarkStart w:id="56" w:name="_Hlk531764634"/>
      <w:r w:rsidRPr="00F27F45">
        <w:rPr>
          <w:rFonts w:ascii="Times New Roman" w:eastAsiaTheme="minorEastAsia" w:hAnsi="Times New Roman" w:cs="Times New Roman"/>
          <w:sz w:val="24"/>
          <w:szCs w:val="24"/>
        </w:rPr>
        <w:t xml:space="preserve">Le graphique ci-dessus qui nous montre l’évolution de l’indice global du chiffre d’affaires dans le secteur des services de T1 2018 à T1 2023, </w:t>
      </w:r>
      <w:r w:rsidRPr="00F27F45">
        <w:rPr>
          <w:rFonts w:asciiTheme="minorBidi" w:eastAsiaTheme="minorEastAsia" w:hAnsiTheme="minorBidi"/>
          <w:sz w:val="24"/>
          <w:szCs w:val="24"/>
        </w:rPr>
        <w:t xml:space="preserve">est marqué par une croissance relativement stable au cours de l’année 2018. Ensuite, l’on observe un creux au premier trimestre 2019 suivi d’un redressement du deuxième jusqu’au troisième trimestre 2019. Il ressort une décroissance à partir du quatrième trimestre 2019 qui sera redressé au deuxième trimestre 2020. Dès le troisième trimestre 2021 jusqu’au quatrième trimestre 2022, on y observe une croissance due aux performances des activités des banques et de télécommunication à l’exception du premier trimestre 2022, où nous notons un creux. </w:t>
      </w:r>
    </w:p>
    <w:p w14:paraId="27275CDC" w14:textId="77777777" w:rsidR="00F27F45" w:rsidRPr="00F27F45" w:rsidRDefault="00F27F45" w:rsidP="00F27F45">
      <w:pPr>
        <w:keepNext/>
        <w:keepLines/>
        <w:spacing w:before="40" w:after="0" w:line="480" w:lineRule="auto"/>
        <w:outlineLvl w:val="1"/>
        <w:rPr>
          <w:rFonts w:ascii="Times New Roman" w:eastAsiaTheme="majorEastAsia" w:hAnsi="Times New Roman" w:cs="Times New Roman"/>
          <w:color w:val="2E74B5" w:themeColor="accent1" w:themeShade="BF"/>
          <w:sz w:val="24"/>
          <w:szCs w:val="24"/>
        </w:rPr>
      </w:pPr>
      <w:bookmarkStart w:id="57" w:name="_Toc530553256"/>
      <w:bookmarkStart w:id="58" w:name="_Toc136004700"/>
      <w:bookmarkEnd w:id="56"/>
      <w:r w:rsidRPr="00F27F45">
        <w:rPr>
          <w:rFonts w:ascii="Times New Roman" w:eastAsiaTheme="majorEastAsia" w:hAnsi="Times New Roman" w:cs="Times New Roman"/>
          <w:color w:val="2E74B5" w:themeColor="accent1" w:themeShade="BF"/>
          <w:sz w:val="24"/>
          <w:szCs w:val="24"/>
        </w:rPr>
        <w:t>III.2. Analyse sectorielle de l’évolution du volume d’activité (Volet Services)</w:t>
      </w:r>
      <w:bookmarkEnd w:id="57"/>
      <w:bookmarkEnd w:id="58"/>
    </w:p>
    <w:p w14:paraId="2C2219CC"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rPr>
      </w:pPr>
      <w:bookmarkStart w:id="59" w:name="_Toc136004701"/>
      <w:r w:rsidRPr="00F27F45">
        <w:rPr>
          <w:rFonts w:ascii="Times New Roman" w:eastAsiaTheme="majorEastAsia" w:hAnsi="Times New Roman" w:cs="Times New Roman"/>
          <w:color w:val="1F4D78" w:themeColor="accent1" w:themeShade="7F"/>
          <w:sz w:val="24"/>
          <w:szCs w:val="24"/>
        </w:rPr>
        <w:t>III.2.1 Transport et entreposage</w:t>
      </w:r>
      <w:bookmarkEnd w:id="59"/>
    </w:p>
    <w:p w14:paraId="33447197" w14:textId="2FF70E3E" w:rsidR="00F27F45" w:rsidRP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Le volume d’activité du secteur du transport et de l’entreposage au cours du </w:t>
      </w:r>
      <w:r w:rsidRPr="00F27F45">
        <w:rPr>
          <w:rFonts w:ascii="Times New Roman" w:eastAsiaTheme="minorEastAsia" w:hAnsi="Times New Roman" w:cs="Times New Roman"/>
          <w:sz w:val="24"/>
          <w:szCs w:val="24"/>
          <w:lang w:val="en-US" w:eastAsia="ko-KR"/>
        </w:rPr>
        <w:t xml:space="preserve">premier </w:t>
      </w:r>
      <w:r w:rsidRPr="00F27F45">
        <w:rPr>
          <w:rFonts w:ascii="Times New Roman" w:eastAsiaTheme="minorEastAsia" w:hAnsi="Times New Roman" w:cs="Times New Roman"/>
          <w:sz w:val="24"/>
          <w:szCs w:val="24"/>
        </w:rPr>
        <w:t xml:space="preserve">trimestre 2023 s’est caractérisé par une augmentation de </w:t>
      </w:r>
      <w:r w:rsidR="00716A1F">
        <w:rPr>
          <w:rFonts w:ascii="Times New Roman" w:eastAsiaTheme="minorEastAsia" w:hAnsi="Times New Roman" w:cs="Times New Roman"/>
          <w:sz w:val="24"/>
          <w:szCs w:val="24"/>
        </w:rPr>
        <w:t>0</w:t>
      </w:r>
      <w:r w:rsidRPr="00F27F45">
        <w:rPr>
          <w:rFonts w:ascii="Times New Roman" w:eastAsiaTheme="minorEastAsia" w:hAnsi="Times New Roman" w:cs="Times New Roman"/>
          <w:sz w:val="24"/>
          <w:szCs w:val="24"/>
        </w:rPr>
        <w:t>.</w:t>
      </w:r>
      <w:r w:rsidR="00716A1F">
        <w:rPr>
          <w:rFonts w:ascii="Times New Roman" w:eastAsiaTheme="minorEastAsia" w:hAnsi="Times New Roman" w:cs="Times New Roman"/>
          <w:sz w:val="24"/>
          <w:szCs w:val="24"/>
        </w:rPr>
        <w:t>1</w:t>
      </w:r>
      <w:r w:rsidRPr="00F27F45">
        <w:rPr>
          <w:rFonts w:ascii="Times New Roman" w:eastAsiaTheme="minorEastAsia" w:hAnsi="Times New Roman" w:cs="Times New Roman"/>
          <w:sz w:val="24"/>
          <w:szCs w:val="24"/>
        </w:rPr>
        <w:t xml:space="preserve">% comparée à la même période de l’année précédente. En effet, l’on constate que le secteur de l’entreposage a connu une croissance positive de </w:t>
      </w:r>
      <w:r w:rsidR="00716A1F">
        <w:rPr>
          <w:rFonts w:ascii="Times New Roman" w:eastAsiaTheme="minorEastAsia" w:hAnsi="Times New Roman" w:cs="Times New Roman"/>
          <w:sz w:val="24"/>
          <w:szCs w:val="24"/>
        </w:rPr>
        <w:t>0</w:t>
      </w:r>
      <w:r w:rsidRPr="00F27F45">
        <w:rPr>
          <w:rFonts w:ascii="Times New Roman" w:eastAsiaTheme="minorEastAsia" w:hAnsi="Times New Roman" w:cs="Times New Roman"/>
          <w:sz w:val="24"/>
          <w:szCs w:val="24"/>
        </w:rPr>
        <w:t>.</w:t>
      </w:r>
      <w:r w:rsidR="00716A1F">
        <w:rPr>
          <w:rFonts w:ascii="Times New Roman" w:eastAsiaTheme="minorEastAsia" w:hAnsi="Times New Roman" w:cs="Times New Roman"/>
          <w:sz w:val="24"/>
          <w:szCs w:val="24"/>
        </w:rPr>
        <w:t>9</w:t>
      </w:r>
      <w:r w:rsidRPr="00F27F45">
        <w:rPr>
          <w:rFonts w:ascii="Times New Roman" w:eastAsiaTheme="minorEastAsia" w:hAnsi="Times New Roman" w:cs="Times New Roman"/>
          <w:sz w:val="24"/>
          <w:szCs w:val="24"/>
        </w:rPr>
        <w:t xml:space="preserve">% et celui du transport maritime s’est accru de </w:t>
      </w:r>
      <w:r w:rsidR="00716A1F">
        <w:rPr>
          <w:rFonts w:ascii="Times New Roman" w:eastAsiaTheme="minorEastAsia" w:hAnsi="Times New Roman" w:cs="Times New Roman"/>
          <w:sz w:val="24"/>
          <w:szCs w:val="24"/>
        </w:rPr>
        <w:t>0</w:t>
      </w:r>
      <w:r w:rsidRPr="00F27F45">
        <w:rPr>
          <w:rFonts w:ascii="Times New Roman" w:eastAsiaTheme="minorEastAsia" w:hAnsi="Times New Roman" w:cs="Times New Roman"/>
          <w:sz w:val="24"/>
          <w:szCs w:val="24"/>
        </w:rPr>
        <w:t>.</w:t>
      </w:r>
      <w:r w:rsidR="00716A1F">
        <w:rPr>
          <w:rFonts w:ascii="Times New Roman" w:eastAsiaTheme="minorEastAsia" w:hAnsi="Times New Roman" w:cs="Times New Roman"/>
          <w:sz w:val="24"/>
          <w:szCs w:val="24"/>
        </w:rPr>
        <w:t>3</w:t>
      </w:r>
      <w:r w:rsidRPr="00F27F45">
        <w:rPr>
          <w:rFonts w:ascii="Times New Roman" w:eastAsiaTheme="minorEastAsia" w:hAnsi="Times New Roman" w:cs="Times New Roman"/>
          <w:sz w:val="24"/>
          <w:szCs w:val="24"/>
        </w:rPr>
        <w:t>% en revanche celui du transport terrestre a enregistré un taux de croissance négatif de 1.</w:t>
      </w:r>
      <w:r w:rsidR="00716A1F">
        <w:rPr>
          <w:rFonts w:ascii="Times New Roman" w:eastAsiaTheme="minorEastAsia" w:hAnsi="Times New Roman" w:cs="Times New Roman"/>
          <w:sz w:val="24"/>
          <w:szCs w:val="24"/>
        </w:rPr>
        <w:t>1</w:t>
      </w:r>
      <w:r w:rsidRPr="00F27F45">
        <w:rPr>
          <w:rFonts w:ascii="Times New Roman" w:eastAsiaTheme="minorEastAsia" w:hAnsi="Times New Roman" w:cs="Times New Roman"/>
          <w:sz w:val="24"/>
          <w:szCs w:val="24"/>
        </w:rPr>
        <w:t xml:space="preserve">%. Cette dernière s’explique par la fermeture d’une entreprise de transport fermée et la rareté du carburant et sa hausse du prix et cette dernière a provoqué la hausse du prix de transport. </w:t>
      </w:r>
    </w:p>
    <w:p w14:paraId="4FBB6715" w14:textId="77777777" w:rsidR="00F27F45" w:rsidRPr="00F27F45" w:rsidRDefault="00F27F45" w:rsidP="00F27F45">
      <w:pPr>
        <w:spacing w:line="360" w:lineRule="auto"/>
        <w:rPr>
          <w:rFonts w:asciiTheme="majorHAnsi" w:eastAsiaTheme="minorEastAsia" w:hAnsiTheme="majorHAnsi" w:cstheme="majorHAnsi"/>
          <w:b/>
          <w:iCs/>
          <w:color w:val="44546A" w:themeColor="text2"/>
          <w:sz w:val="20"/>
          <w:szCs w:val="20"/>
        </w:rPr>
      </w:pPr>
      <w:bookmarkStart w:id="60" w:name="_Toc4757520"/>
      <w:bookmarkStart w:id="61" w:name="_Toc136004720"/>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8</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rPr>
        <w:t>: Évolution du volume d’activités du secteur du transport et d’entreposage</w:t>
      </w:r>
      <w:bookmarkEnd w:id="60"/>
      <w:bookmarkEnd w:id="61"/>
    </w:p>
    <w:p w14:paraId="636E5EC7" w14:textId="77777777" w:rsidR="00F27F45" w:rsidRPr="00F27F45" w:rsidRDefault="00F27F45" w:rsidP="00F27F45">
      <w:pPr>
        <w:rPr>
          <w:rFonts w:eastAsiaTheme="minorEastAsia"/>
        </w:rPr>
      </w:pPr>
      <w:r w:rsidRPr="00F27F45">
        <w:rPr>
          <w:rFonts w:eastAsiaTheme="minorEastAsia"/>
          <w:noProof/>
          <w:lang w:eastAsia="fr-FR"/>
        </w:rPr>
        <w:lastRenderedPageBreak/>
        <w:drawing>
          <wp:inline distT="0" distB="0" distL="0" distR="0" wp14:anchorId="6DD167B0" wp14:editId="07D3F6C5">
            <wp:extent cx="5391150" cy="2686050"/>
            <wp:effectExtent l="0" t="0" r="0" b="0"/>
            <wp:docPr id="25" name="Chart 27">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C36E371"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p>
    <w:p w14:paraId="00C03627"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rPr>
      </w:pPr>
      <w:bookmarkStart w:id="62" w:name="_Toc136004702"/>
      <w:r w:rsidRPr="00F27F45">
        <w:rPr>
          <w:rFonts w:ascii="Times New Roman" w:eastAsiaTheme="majorEastAsia" w:hAnsi="Times New Roman" w:cs="Times New Roman"/>
          <w:color w:val="1F4D78" w:themeColor="accent1" w:themeShade="7F"/>
          <w:sz w:val="24"/>
          <w:szCs w:val="24"/>
        </w:rPr>
        <w:t>III.2.2 Hébergement et de restauration</w:t>
      </w:r>
      <w:bookmarkEnd w:id="62"/>
    </w:p>
    <w:p w14:paraId="68EA304F" w14:textId="711F2F09" w:rsidR="00F27F45" w:rsidRPr="00F27F45" w:rsidRDefault="00F27F45" w:rsidP="00F27F45">
      <w:pPr>
        <w:spacing w:line="360" w:lineRule="auto"/>
        <w:jc w:val="both"/>
        <w:rPr>
          <w:rFonts w:ascii="Times New Roman" w:eastAsiaTheme="minorEastAsia" w:hAnsi="Times New Roman" w:cs="Times New Roman"/>
          <w:sz w:val="24"/>
          <w:szCs w:val="24"/>
        </w:rPr>
      </w:pPr>
      <w:bookmarkStart w:id="63" w:name="_Hlk16694073"/>
      <w:r w:rsidRPr="00F27F45">
        <w:rPr>
          <w:rFonts w:ascii="Times New Roman" w:eastAsiaTheme="minorEastAsia" w:hAnsi="Times New Roman" w:cs="Times New Roman"/>
          <w:sz w:val="24"/>
          <w:szCs w:val="24"/>
        </w:rPr>
        <w:t xml:space="preserve">Le secteur d’hébergement et de restauration au cours du premier trimestre 2023 </w:t>
      </w:r>
      <w:bookmarkStart w:id="64" w:name="_Toc4687164"/>
      <w:bookmarkStart w:id="65" w:name="_Toc4747545"/>
      <w:bookmarkStart w:id="66" w:name="_Toc4748557"/>
      <w:bookmarkStart w:id="67" w:name="_Toc4757521"/>
      <w:bookmarkEnd w:id="63"/>
      <w:r w:rsidRPr="00F27F45">
        <w:rPr>
          <w:rFonts w:ascii="Times New Roman" w:eastAsiaTheme="minorEastAsia" w:hAnsi="Times New Roman" w:cs="Times New Roman"/>
          <w:sz w:val="24"/>
          <w:szCs w:val="24"/>
        </w:rPr>
        <w:t xml:space="preserve">a été marquée par une hausse de </w:t>
      </w:r>
      <w:r w:rsidR="00716A1F">
        <w:rPr>
          <w:rFonts w:ascii="Times New Roman" w:eastAsiaTheme="minorEastAsia" w:hAnsi="Times New Roman" w:cs="Times New Roman"/>
          <w:sz w:val="24"/>
          <w:szCs w:val="24"/>
        </w:rPr>
        <w:t>40</w:t>
      </w:r>
      <w:r w:rsidRPr="00F27F45">
        <w:rPr>
          <w:rFonts w:ascii="Times New Roman" w:eastAsiaTheme="minorEastAsia" w:hAnsi="Times New Roman" w:cs="Times New Roman"/>
          <w:sz w:val="24"/>
          <w:szCs w:val="24"/>
        </w:rPr>
        <w:t>.</w:t>
      </w:r>
      <w:r w:rsidR="00716A1F">
        <w:rPr>
          <w:rFonts w:ascii="Times New Roman" w:eastAsiaTheme="minorEastAsia" w:hAnsi="Times New Roman" w:cs="Times New Roman"/>
          <w:sz w:val="24"/>
          <w:szCs w:val="24"/>
        </w:rPr>
        <w:t>6</w:t>
      </w:r>
      <w:r w:rsidRPr="00F27F45">
        <w:rPr>
          <w:rFonts w:ascii="Times New Roman" w:eastAsiaTheme="minorEastAsia" w:hAnsi="Times New Roman" w:cs="Times New Roman"/>
          <w:sz w:val="24"/>
          <w:szCs w:val="24"/>
        </w:rPr>
        <w:t xml:space="preserve">% </w:t>
      </w:r>
      <w:r w:rsidR="00716A1F">
        <w:rPr>
          <w:rFonts w:ascii="Times New Roman" w:eastAsiaTheme="minorEastAsia" w:hAnsi="Times New Roman" w:cs="Times New Roman"/>
          <w:sz w:val="24"/>
          <w:szCs w:val="24"/>
        </w:rPr>
        <w:t xml:space="preserve">avec une contribution de 0.5 points </w:t>
      </w:r>
      <w:r w:rsidR="00716A1F" w:rsidRPr="00F27F45">
        <w:rPr>
          <w:rFonts w:ascii="Times New Roman" w:eastAsiaTheme="minorEastAsia" w:hAnsi="Times New Roman" w:cs="Times New Roman"/>
          <w:sz w:val="24"/>
          <w:szCs w:val="24"/>
        </w:rPr>
        <w:t>comparés</w:t>
      </w:r>
      <w:r w:rsidRPr="00F27F45">
        <w:rPr>
          <w:rFonts w:ascii="Times New Roman" w:eastAsiaTheme="minorEastAsia" w:hAnsi="Times New Roman" w:cs="Times New Roman"/>
          <w:sz w:val="24"/>
          <w:szCs w:val="24"/>
        </w:rPr>
        <w:t xml:space="preserve"> à la même période de l’année précédente. Cette situation résulte des augmentations des taux de croissances de 22.7% et de 61.3% marquées respectivement par le secteur de la restauration et le secteur de l’hébergement.</w:t>
      </w:r>
    </w:p>
    <w:p w14:paraId="7B4C451A" w14:textId="77777777" w:rsidR="00F27F45" w:rsidRPr="00F27F45" w:rsidRDefault="00F27F45" w:rsidP="00F27F45">
      <w:pPr>
        <w:spacing w:line="240" w:lineRule="auto"/>
        <w:rPr>
          <w:rFonts w:asciiTheme="majorHAnsi" w:eastAsiaTheme="minorEastAsia" w:hAnsiTheme="majorHAnsi" w:cstheme="majorHAnsi"/>
          <w:b/>
          <w:i/>
          <w:iCs/>
          <w:color w:val="44546A" w:themeColor="text2"/>
          <w:sz w:val="20"/>
          <w:szCs w:val="20"/>
        </w:rPr>
      </w:pPr>
      <w:bookmarkStart w:id="68" w:name="_Toc136004721"/>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9</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rPr>
        <w:t>: Evolution du volume d’activités du secteur d'hébergement et de la restauration</w:t>
      </w:r>
      <w:bookmarkEnd w:id="64"/>
      <w:bookmarkEnd w:id="65"/>
      <w:bookmarkEnd w:id="66"/>
      <w:bookmarkEnd w:id="67"/>
      <w:bookmarkEnd w:id="68"/>
    </w:p>
    <w:p w14:paraId="3803EC29" w14:textId="77777777" w:rsidR="00F27F45" w:rsidRPr="00F27F45" w:rsidRDefault="00F27F45" w:rsidP="00F27F45">
      <w:pPr>
        <w:spacing w:line="360" w:lineRule="auto"/>
        <w:jc w:val="both"/>
        <w:rPr>
          <w:rFonts w:eastAsiaTheme="minorEastAsia"/>
          <w:noProof/>
          <w:highlight w:val="yellow"/>
        </w:rPr>
      </w:pPr>
      <w:r w:rsidRPr="00F27F45">
        <w:rPr>
          <w:rFonts w:eastAsiaTheme="minorEastAsia"/>
          <w:noProof/>
          <w:lang w:eastAsia="fr-FR"/>
        </w:rPr>
        <w:drawing>
          <wp:inline distT="0" distB="0" distL="0" distR="0" wp14:anchorId="79D60FB0" wp14:editId="4479E862">
            <wp:extent cx="5343525" cy="2600325"/>
            <wp:effectExtent l="0" t="0" r="9525" b="9525"/>
            <wp:docPr id="30" name="Chart 28">
              <a:extLst xmlns:a="http://schemas.openxmlformats.org/drawingml/2006/main">
                <a:ext uri="{FF2B5EF4-FFF2-40B4-BE49-F238E27FC236}">
                  <a16:creationId xmlns:a16="http://schemas.microsoft.com/office/drawing/2014/main"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987A229"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p>
    <w:p w14:paraId="3364BA64" w14:textId="77777777" w:rsidR="00F27F45" w:rsidRPr="00F27F45" w:rsidRDefault="00F27F45" w:rsidP="00F27F45">
      <w:pPr>
        <w:spacing w:line="360" w:lineRule="auto"/>
        <w:jc w:val="both"/>
        <w:rPr>
          <w:rFonts w:ascii="Cambria" w:eastAsiaTheme="minorEastAsia" w:hAnsi="Cambria"/>
          <w:b/>
        </w:rPr>
      </w:pPr>
      <w:r w:rsidRPr="00F27F45">
        <w:rPr>
          <w:rFonts w:ascii="Times New Roman" w:eastAsiaTheme="minorEastAsia" w:hAnsi="Times New Roman" w:cs="Times New Roman"/>
          <w:sz w:val="24"/>
          <w:szCs w:val="24"/>
        </w:rPr>
        <w:lastRenderedPageBreak/>
        <w:t xml:space="preserve">L’activité pour cette branche présente une évolution relativement stable depuis l’année 2018 jusqu’en 2019. Nous observons un pic au quatrième trimestre 2019 suivi d’une chute pour l’année 2020 au premier trimestre qui s’exprimerait par une faible circulation entre pays et à l’intérieur du pays dû aux mesures prises pour faire face à la pandémie du covid-19. Nous remarquons par la suite la reprise de l’activité depuis le deuxième trimestre 2020 jusqu’au premier trimestre 2023. </w:t>
      </w:r>
    </w:p>
    <w:p w14:paraId="3A4F4A59"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rPr>
      </w:pPr>
      <w:bookmarkStart w:id="69" w:name="_Toc136004703"/>
      <w:r w:rsidRPr="00F27F45">
        <w:rPr>
          <w:rFonts w:ascii="Times New Roman" w:eastAsiaTheme="majorEastAsia" w:hAnsi="Times New Roman" w:cs="Times New Roman"/>
          <w:color w:val="1F4D78" w:themeColor="accent1" w:themeShade="7F"/>
          <w:sz w:val="24"/>
          <w:szCs w:val="24"/>
        </w:rPr>
        <w:t>III.2.3 Information et communication</w:t>
      </w:r>
      <w:bookmarkEnd w:id="69"/>
    </w:p>
    <w:p w14:paraId="0EE3FEC5" w14:textId="7A427E69" w:rsidR="00F27F45" w:rsidRP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Au cours du quatrième trimestre 2022, le secteur d’information et communication est marqué par une hausse de 4</w:t>
      </w:r>
      <w:r w:rsidR="00716A1F">
        <w:rPr>
          <w:rFonts w:ascii="Times New Roman" w:eastAsiaTheme="minorEastAsia" w:hAnsi="Times New Roman" w:cs="Times New Roman"/>
          <w:sz w:val="24"/>
          <w:szCs w:val="24"/>
        </w:rPr>
        <w:t>5</w:t>
      </w:r>
      <w:r w:rsidRPr="00F27F45">
        <w:rPr>
          <w:rFonts w:ascii="Times New Roman" w:eastAsiaTheme="minorEastAsia" w:hAnsi="Times New Roman" w:cs="Times New Roman"/>
          <w:sz w:val="24"/>
          <w:szCs w:val="24"/>
        </w:rPr>
        <w:t>.</w:t>
      </w:r>
      <w:r w:rsidR="00716A1F">
        <w:rPr>
          <w:rFonts w:ascii="Times New Roman" w:eastAsiaTheme="minorEastAsia" w:hAnsi="Times New Roman" w:cs="Times New Roman"/>
          <w:sz w:val="24"/>
          <w:szCs w:val="24"/>
        </w:rPr>
        <w:t>6</w:t>
      </w:r>
      <w:r w:rsidRPr="00F27F45">
        <w:rPr>
          <w:rFonts w:ascii="Times New Roman" w:eastAsiaTheme="minorEastAsia" w:hAnsi="Times New Roman" w:cs="Times New Roman"/>
          <w:sz w:val="24"/>
          <w:szCs w:val="24"/>
        </w:rPr>
        <w:t>% en glissement annuel</w:t>
      </w:r>
      <w:r w:rsidR="00716A1F">
        <w:rPr>
          <w:rFonts w:ascii="Times New Roman" w:eastAsiaTheme="minorEastAsia" w:hAnsi="Times New Roman" w:cs="Times New Roman"/>
          <w:sz w:val="24"/>
          <w:szCs w:val="24"/>
        </w:rPr>
        <w:t xml:space="preserve"> contribuant ainsi 12.1points</w:t>
      </w:r>
      <w:r w:rsidRPr="00F27F45">
        <w:rPr>
          <w:rFonts w:ascii="Times New Roman" w:eastAsiaTheme="minorEastAsia" w:hAnsi="Times New Roman" w:cs="Times New Roman"/>
          <w:sz w:val="24"/>
          <w:szCs w:val="24"/>
        </w:rPr>
        <w:t xml:space="preserve">. En effet le secteur de la télécommunication s’est accru de 50.7% programmation télévisuelle et la radiodiffusion a connu une croissance négative de 1.5% et enfin le secteur d’activités informatiques a enregistré un taux de croissance négatifs de </w:t>
      </w:r>
      <w:bookmarkStart w:id="70" w:name="_Toc4687165"/>
      <w:bookmarkStart w:id="71" w:name="_Toc4747546"/>
      <w:bookmarkStart w:id="72" w:name="_Toc4748558"/>
      <w:bookmarkStart w:id="73" w:name="_Toc4757522"/>
      <w:r w:rsidRPr="00F27F45">
        <w:rPr>
          <w:rFonts w:ascii="Times New Roman" w:eastAsiaTheme="minorEastAsia" w:hAnsi="Times New Roman" w:cs="Times New Roman"/>
          <w:sz w:val="24"/>
          <w:szCs w:val="24"/>
        </w:rPr>
        <w:t>33</w:t>
      </w:r>
      <w:r w:rsidR="00716A1F">
        <w:rPr>
          <w:rFonts w:ascii="Times New Roman" w:eastAsiaTheme="minorEastAsia" w:hAnsi="Times New Roman" w:cs="Times New Roman"/>
          <w:sz w:val="24"/>
          <w:szCs w:val="24"/>
        </w:rPr>
        <w:t>.9</w:t>
      </w:r>
      <w:r w:rsidRPr="00F27F45">
        <w:rPr>
          <w:rFonts w:ascii="Times New Roman" w:eastAsiaTheme="minorEastAsia" w:hAnsi="Times New Roman" w:cs="Times New Roman"/>
          <w:sz w:val="24"/>
          <w:szCs w:val="24"/>
        </w:rPr>
        <w:t xml:space="preserve">%. </w:t>
      </w:r>
      <w:r w:rsidRPr="00F27F45">
        <w:rPr>
          <w:rFonts w:ascii="Times New Roman" w:eastAsiaTheme="minorEastAsia" w:hAnsi="Times New Roman" w:cs="Times New Roman"/>
          <w:sz w:val="24"/>
          <w:szCs w:val="24"/>
          <w:lang w:eastAsia="fr-FR"/>
        </w:rPr>
        <w:t>Cette hausse serait non seulement due à la hausse de la demande des services des télécommunications.</w:t>
      </w:r>
    </w:p>
    <w:p w14:paraId="5BB17526" w14:textId="77777777" w:rsidR="00F27F45" w:rsidRPr="00F27F45" w:rsidRDefault="00F27F45" w:rsidP="00F27F45">
      <w:pPr>
        <w:spacing w:line="240" w:lineRule="auto"/>
        <w:rPr>
          <w:rFonts w:asciiTheme="majorHAnsi" w:eastAsiaTheme="minorEastAsia" w:hAnsiTheme="majorHAnsi" w:cstheme="majorHAnsi"/>
          <w:b/>
          <w:i/>
          <w:iCs/>
          <w:color w:val="44546A" w:themeColor="text2"/>
          <w:sz w:val="20"/>
          <w:szCs w:val="20"/>
        </w:rPr>
      </w:pPr>
      <w:bookmarkStart w:id="74" w:name="_Toc136004722"/>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10</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rPr>
        <w:t>: Evolution du volume d’activités du secteur d'information et de la communication</w:t>
      </w:r>
      <w:bookmarkEnd w:id="70"/>
      <w:bookmarkEnd w:id="71"/>
      <w:bookmarkEnd w:id="72"/>
      <w:bookmarkEnd w:id="73"/>
      <w:bookmarkEnd w:id="74"/>
    </w:p>
    <w:p w14:paraId="41E82BBD" w14:textId="77777777" w:rsidR="00F27F45" w:rsidRPr="00F27F45" w:rsidRDefault="00F27F45" w:rsidP="00F27F45">
      <w:pPr>
        <w:spacing w:line="360" w:lineRule="auto"/>
        <w:jc w:val="both"/>
        <w:rPr>
          <w:rFonts w:ascii="Cambria" w:eastAsiaTheme="minorEastAsia" w:hAnsi="Cambria"/>
          <w:b/>
          <w:highlight w:val="yellow"/>
        </w:rPr>
      </w:pPr>
      <w:r w:rsidRPr="00F27F45">
        <w:rPr>
          <w:rFonts w:eastAsiaTheme="minorEastAsia"/>
          <w:noProof/>
          <w:lang w:eastAsia="fr-FR"/>
        </w:rPr>
        <w:drawing>
          <wp:inline distT="0" distB="0" distL="0" distR="0" wp14:anchorId="31C814CB" wp14:editId="20EECC99">
            <wp:extent cx="5286375" cy="2743200"/>
            <wp:effectExtent l="0" t="0" r="9525" b="0"/>
            <wp:docPr id="31" name="Chart 31">
              <a:extLst xmlns:a="http://schemas.openxmlformats.org/drawingml/2006/main">
                <a:ext uri="{FF2B5EF4-FFF2-40B4-BE49-F238E27FC236}">
                  <a16:creationId xmlns:a16="http://schemas.microsoft.com/office/drawing/2014/main" id="{00000000-0008-0000-03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2E2D1F2" w14:textId="77777777" w:rsidR="00F27F45" w:rsidRPr="00F27F45" w:rsidRDefault="00F27F45" w:rsidP="00F27F45">
      <w:pPr>
        <w:spacing w:line="360" w:lineRule="auto"/>
        <w:jc w:val="both"/>
        <w:rPr>
          <w:rFonts w:eastAsiaTheme="minorEastAsia"/>
          <w:noProof/>
        </w:rPr>
      </w:pPr>
      <w:r w:rsidRPr="00F27F45">
        <w:rPr>
          <w:rFonts w:ascii="Cambria" w:eastAsiaTheme="minorEastAsia" w:hAnsi="Cambria"/>
          <w:b/>
        </w:rPr>
        <w:t>Source : INSBU, calcul de l’ICA, base 2018=100</w:t>
      </w:r>
    </w:p>
    <w:p w14:paraId="529CF40D"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rPr>
      </w:pPr>
      <w:bookmarkStart w:id="75" w:name="_Toc136004704"/>
      <w:r w:rsidRPr="00F27F45">
        <w:rPr>
          <w:rFonts w:ascii="Times New Roman" w:eastAsiaTheme="majorEastAsia" w:hAnsi="Times New Roman" w:cs="Times New Roman"/>
          <w:color w:val="1F4D78" w:themeColor="accent1" w:themeShade="7F"/>
          <w:sz w:val="24"/>
          <w:szCs w:val="24"/>
        </w:rPr>
        <w:t>III.2.4 Activités financières et assurances</w:t>
      </w:r>
      <w:bookmarkEnd w:id="75"/>
    </w:p>
    <w:p w14:paraId="6A4B66F9" w14:textId="167D0658" w:rsidR="00F27F45" w:rsidRP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L’évolution des activités financières et des assurances au cours du premier trimestre 2023 a connu une hausse de </w:t>
      </w:r>
      <w:r w:rsidR="00A61BCC">
        <w:rPr>
          <w:rFonts w:ascii="Times New Roman" w:eastAsiaTheme="minorEastAsia" w:hAnsi="Times New Roman" w:cs="Times New Roman"/>
          <w:sz w:val="24"/>
          <w:szCs w:val="24"/>
        </w:rPr>
        <w:t>12</w:t>
      </w:r>
      <w:r w:rsidRPr="00F27F45">
        <w:rPr>
          <w:rFonts w:ascii="Times New Roman" w:eastAsiaTheme="minorEastAsia" w:hAnsi="Times New Roman" w:cs="Times New Roman"/>
          <w:sz w:val="24"/>
          <w:szCs w:val="24"/>
        </w:rPr>
        <w:t>.</w:t>
      </w:r>
      <w:r w:rsidR="00A61BCC">
        <w:rPr>
          <w:rFonts w:ascii="Times New Roman" w:eastAsiaTheme="minorEastAsia" w:hAnsi="Times New Roman" w:cs="Times New Roman"/>
          <w:sz w:val="24"/>
          <w:szCs w:val="24"/>
        </w:rPr>
        <w:t>3</w:t>
      </w:r>
      <w:r w:rsidRPr="00F27F45">
        <w:rPr>
          <w:rFonts w:ascii="Times New Roman" w:eastAsiaTheme="minorEastAsia" w:hAnsi="Times New Roman" w:cs="Times New Roman"/>
          <w:sz w:val="24"/>
          <w:szCs w:val="24"/>
        </w:rPr>
        <w:t xml:space="preserve">% </w:t>
      </w:r>
      <w:r w:rsidR="00A61BCC">
        <w:rPr>
          <w:rFonts w:ascii="Times New Roman" w:eastAsiaTheme="minorEastAsia" w:hAnsi="Times New Roman" w:cs="Times New Roman"/>
          <w:sz w:val="24"/>
          <w:szCs w:val="24"/>
        </w:rPr>
        <w:t xml:space="preserve">avec une contribution de 6.9 points </w:t>
      </w:r>
      <w:r w:rsidRPr="00F27F45">
        <w:rPr>
          <w:rFonts w:ascii="Times New Roman" w:eastAsiaTheme="minorEastAsia" w:hAnsi="Times New Roman" w:cs="Times New Roman"/>
          <w:sz w:val="24"/>
          <w:szCs w:val="24"/>
        </w:rPr>
        <w:t xml:space="preserve">en référence au même trimestre de l’année 2022. En effet, le secteur de l’activité financière s’est accru de </w:t>
      </w:r>
      <w:r w:rsidR="00A61BCC">
        <w:rPr>
          <w:rFonts w:ascii="Times New Roman" w:eastAsiaTheme="minorEastAsia" w:hAnsi="Times New Roman" w:cs="Times New Roman"/>
          <w:sz w:val="24"/>
          <w:szCs w:val="24"/>
        </w:rPr>
        <w:t xml:space="preserve">13.2 </w:t>
      </w:r>
      <w:r w:rsidRPr="00F27F45">
        <w:rPr>
          <w:rFonts w:ascii="Times New Roman" w:eastAsiaTheme="minorEastAsia" w:hAnsi="Times New Roman" w:cs="Times New Roman"/>
          <w:sz w:val="24"/>
          <w:szCs w:val="24"/>
        </w:rPr>
        <w:t>%</w:t>
      </w:r>
      <w:r w:rsidR="00A61BCC">
        <w:rPr>
          <w:rFonts w:ascii="Times New Roman" w:eastAsiaTheme="minorEastAsia" w:hAnsi="Times New Roman" w:cs="Times New Roman"/>
          <w:sz w:val="24"/>
          <w:szCs w:val="24"/>
        </w:rPr>
        <w:t xml:space="preserve">contribuant ainsi 5.8 </w:t>
      </w:r>
      <w:proofErr w:type="gramStart"/>
      <w:r w:rsidR="00A61BCC">
        <w:rPr>
          <w:rFonts w:ascii="Times New Roman" w:eastAsiaTheme="minorEastAsia" w:hAnsi="Times New Roman" w:cs="Times New Roman"/>
          <w:sz w:val="24"/>
          <w:szCs w:val="24"/>
        </w:rPr>
        <w:t xml:space="preserve">ponts </w:t>
      </w:r>
      <w:r w:rsidRPr="00F27F45">
        <w:rPr>
          <w:rFonts w:ascii="Times New Roman" w:eastAsiaTheme="minorEastAsia" w:hAnsi="Times New Roman" w:cs="Times New Roman"/>
          <w:sz w:val="24"/>
          <w:szCs w:val="24"/>
        </w:rPr>
        <w:t xml:space="preserve"> et</w:t>
      </w:r>
      <w:proofErr w:type="gramEnd"/>
      <w:r w:rsidRPr="00F27F45">
        <w:rPr>
          <w:rFonts w:ascii="Times New Roman" w:eastAsiaTheme="minorEastAsia" w:hAnsi="Times New Roman" w:cs="Times New Roman"/>
          <w:sz w:val="24"/>
          <w:szCs w:val="24"/>
        </w:rPr>
        <w:t xml:space="preserve"> celui de l’activités auxiliaires finance et assurance a connu une hausse de </w:t>
      </w:r>
      <w:r w:rsidR="00A61BCC">
        <w:rPr>
          <w:rFonts w:ascii="Times New Roman" w:eastAsiaTheme="minorEastAsia" w:hAnsi="Times New Roman" w:cs="Times New Roman"/>
          <w:sz w:val="24"/>
          <w:szCs w:val="24"/>
        </w:rPr>
        <w:lastRenderedPageBreak/>
        <w:t xml:space="preserve">25.0 </w:t>
      </w:r>
      <w:r w:rsidRPr="00F27F45">
        <w:rPr>
          <w:rFonts w:ascii="Times New Roman" w:eastAsiaTheme="minorEastAsia" w:hAnsi="Times New Roman" w:cs="Times New Roman"/>
          <w:sz w:val="24"/>
          <w:szCs w:val="24"/>
        </w:rPr>
        <w:t>%</w:t>
      </w:r>
      <w:r w:rsidR="00A61BCC">
        <w:rPr>
          <w:rFonts w:ascii="Times New Roman" w:eastAsiaTheme="minorEastAsia" w:hAnsi="Times New Roman" w:cs="Times New Roman"/>
          <w:sz w:val="24"/>
          <w:szCs w:val="24"/>
        </w:rPr>
        <w:t>en glissement annuel avec 1.9 point comme contribution</w:t>
      </w:r>
      <w:r w:rsidRPr="00F27F45">
        <w:rPr>
          <w:rFonts w:ascii="Times New Roman" w:eastAsiaTheme="minorEastAsia" w:hAnsi="Times New Roman" w:cs="Times New Roman"/>
          <w:sz w:val="24"/>
          <w:szCs w:val="24"/>
        </w:rPr>
        <w:t xml:space="preserve">. En revanche le secteur </w:t>
      </w:r>
      <w:bookmarkStart w:id="76" w:name="_Toc4687166"/>
      <w:bookmarkStart w:id="77" w:name="_Toc4747547"/>
      <w:bookmarkStart w:id="78" w:name="_Toc4748559"/>
      <w:bookmarkStart w:id="79" w:name="_Toc4757523"/>
      <w:bookmarkStart w:id="80" w:name="_Hlk4755125"/>
      <w:r w:rsidRPr="00F27F45">
        <w:rPr>
          <w:rFonts w:ascii="Times New Roman" w:eastAsiaTheme="minorEastAsia" w:hAnsi="Times New Roman" w:cs="Times New Roman"/>
          <w:sz w:val="24"/>
          <w:szCs w:val="24"/>
        </w:rPr>
        <w:t xml:space="preserve">d’assurance quant a lui a connu un glissement annuel négatif de </w:t>
      </w:r>
      <w:r w:rsidR="00A61BCC">
        <w:rPr>
          <w:rFonts w:ascii="Times New Roman" w:eastAsiaTheme="minorEastAsia" w:hAnsi="Times New Roman" w:cs="Times New Roman"/>
          <w:sz w:val="24"/>
          <w:szCs w:val="24"/>
        </w:rPr>
        <w:t>12.5</w:t>
      </w:r>
      <w:r w:rsidRPr="00F27F45">
        <w:rPr>
          <w:rFonts w:ascii="Times New Roman" w:eastAsiaTheme="minorEastAsia" w:hAnsi="Times New Roman" w:cs="Times New Roman"/>
          <w:sz w:val="24"/>
          <w:szCs w:val="24"/>
        </w:rPr>
        <w:t>%.</w:t>
      </w:r>
    </w:p>
    <w:p w14:paraId="69BA3D8A" w14:textId="77777777" w:rsidR="00F27F45" w:rsidRPr="00F27F45" w:rsidRDefault="00F27F45" w:rsidP="00F27F45">
      <w:pPr>
        <w:spacing w:line="240" w:lineRule="auto"/>
        <w:rPr>
          <w:rFonts w:asciiTheme="majorHAnsi" w:eastAsiaTheme="minorEastAsia" w:hAnsiTheme="majorHAnsi" w:cstheme="majorHAnsi"/>
          <w:b/>
          <w:iCs/>
          <w:color w:val="44546A" w:themeColor="text2"/>
          <w:sz w:val="20"/>
          <w:szCs w:val="20"/>
        </w:rPr>
      </w:pPr>
    </w:p>
    <w:p w14:paraId="28D7C43B" w14:textId="77777777" w:rsidR="00F27F45" w:rsidRPr="00F27F45" w:rsidRDefault="00F27F45" w:rsidP="00F27F45">
      <w:pPr>
        <w:spacing w:line="240" w:lineRule="auto"/>
        <w:rPr>
          <w:rFonts w:asciiTheme="majorHAnsi" w:eastAsiaTheme="minorEastAsia" w:hAnsiTheme="majorHAnsi" w:cstheme="majorHAnsi"/>
          <w:b/>
          <w:i/>
          <w:iCs/>
          <w:color w:val="44546A" w:themeColor="text2"/>
          <w:sz w:val="20"/>
          <w:szCs w:val="20"/>
        </w:rPr>
      </w:pPr>
      <w:bookmarkStart w:id="81" w:name="_Toc136004723"/>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11</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rPr>
        <w:t>: Evolution du volume d’activité des activités financières et des assurances</w:t>
      </w:r>
      <w:bookmarkEnd w:id="76"/>
      <w:bookmarkEnd w:id="77"/>
      <w:bookmarkEnd w:id="78"/>
      <w:bookmarkEnd w:id="79"/>
      <w:bookmarkEnd w:id="80"/>
      <w:bookmarkEnd w:id="81"/>
    </w:p>
    <w:p w14:paraId="788FD0E4" w14:textId="325614FC" w:rsidR="00F27F45" w:rsidRPr="00F27F45" w:rsidRDefault="000039C7" w:rsidP="00F27F45">
      <w:pPr>
        <w:spacing w:line="360" w:lineRule="auto"/>
        <w:jc w:val="both"/>
        <w:rPr>
          <w:rFonts w:ascii="Cambria" w:eastAsiaTheme="minorEastAsia" w:hAnsi="Cambria"/>
          <w:b/>
          <w:highlight w:val="yellow"/>
        </w:rPr>
      </w:pPr>
      <w:r>
        <w:rPr>
          <w:noProof/>
          <w:lang w:eastAsia="fr-FR"/>
        </w:rPr>
        <w:drawing>
          <wp:inline distT="0" distB="0" distL="0" distR="0" wp14:anchorId="2B6FC357" wp14:editId="0680EBF2">
            <wp:extent cx="5181600" cy="2714625"/>
            <wp:effectExtent l="0" t="0" r="0" b="9525"/>
            <wp:docPr id="50" name="Graphique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04DA347" w14:textId="77777777" w:rsidR="00F27F45" w:rsidRPr="00F27F45" w:rsidRDefault="00F27F45" w:rsidP="00F27F45">
      <w:pPr>
        <w:spacing w:line="360" w:lineRule="auto"/>
        <w:jc w:val="both"/>
        <w:rPr>
          <w:rFonts w:ascii="Times New Roman" w:eastAsiaTheme="minorEastAsia" w:hAnsi="Times New Roman" w:cs="Times New Roman"/>
          <w:sz w:val="24"/>
          <w:szCs w:val="24"/>
        </w:rPr>
      </w:pPr>
      <w:r w:rsidRPr="00F27F45">
        <w:rPr>
          <w:rFonts w:ascii="Cambria" w:eastAsiaTheme="minorEastAsia" w:hAnsi="Cambria"/>
          <w:b/>
        </w:rPr>
        <w:t>Source : INSBU, calcul de l’ICA, base 2018=100</w:t>
      </w:r>
    </w:p>
    <w:p w14:paraId="7D7DBCB9" w14:textId="77777777" w:rsidR="00F27F45" w:rsidRP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Au regard de ce graphique qui représente l’évolution du secteur financier et d’assurance à partir du premier trimestre 2018 jusqu’au deuxième trimestre 2023, on remarque qu’au cours de l’année 2018, le secteur était en croissance et plus précisément au quatrième trimestre où on observe un pic dû à une hausse considérable de la branche financière. L’autre constat est qu’au premier trimestre de chaque année, on observe globalement des baisses du niveau d’activité. En 2018 et en 2023, le secteur est en croissance.</w:t>
      </w:r>
    </w:p>
    <w:p w14:paraId="5BBDEE8E"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rPr>
      </w:pPr>
      <w:bookmarkStart w:id="82" w:name="_Toc136004705"/>
      <w:r w:rsidRPr="00F27F45">
        <w:rPr>
          <w:rFonts w:ascii="Times New Roman" w:eastAsiaTheme="majorEastAsia" w:hAnsi="Times New Roman" w:cs="Times New Roman"/>
          <w:color w:val="1F4D78" w:themeColor="accent1" w:themeShade="7F"/>
          <w:sz w:val="24"/>
          <w:szCs w:val="24"/>
        </w:rPr>
        <w:t>III.2.5 Secteur d’immobilier</w:t>
      </w:r>
      <w:bookmarkEnd w:id="82"/>
    </w:p>
    <w:p w14:paraId="2075A66A" w14:textId="455D1CDB" w:rsid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Au cours du deuxième trimestre 2022, le secteur immobilier a été marqué par une petite</w:t>
      </w:r>
      <w:r w:rsidR="00A61BCC">
        <w:rPr>
          <w:rFonts w:ascii="Times New Roman" w:eastAsiaTheme="minorEastAsia" w:hAnsi="Times New Roman" w:cs="Times New Roman"/>
          <w:sz w:val="24"/>
          <w:szCs w:val="24"/>
        </w:rPr>
        <w:t xml:space="preserve"> diminution de </w:t>
      </w:r>
      <w:r w:rsidRPr="00F27F45">
        <w:rPr>
          <w:rFonts w:ascii="Times New Roman" w:eastAsiaTheme="minorEastAsia" w:hAnsi="Times New Roman" w:cs="Times New Roman"/>
          <w:sz w:val="24"/>
          <w:szCs w:val="24"/>
        </w:rPr>
        <w:t xml:space="preserve">de </w:t>
      </w:r>
      <w:r w:rsidR="00A61BCC">
        <w:rPr>
          <w:rFonts w:ascii="Times New Roman" w:eastAsiaTheme="minorEastAsia" w:hAnsi="Times New Roman" w:cs="Times New Roman"/>
          <w:sz w:val="24"/>
          <w:szCs w:val="24"/>
        </w:rPr>
        <w:t>12</w:t>
      </w:r>
      <w:r w:rsidRPr="00F27F45">
        <w:rPr>
          <w:rFonts w:ascii="Times New Roman" w:eastAsiaTheme="minorEastAsia" w:hAnsi="Times New Roman" w:cs="Times New Roman"/>
          <w:sz w:val="24"/>
          <w:szCs w:val="24"/>
        </w:rPr>
        <w:t>.</w:t>
      </w:r>
      <w:r w:rsidR="00A61BCC">
        <w:rPr>
          <w:rFonts w:ascii="Times New Roman" w:eastAsiaTheme="minorEastAsia" w:hAnsi="Times New Roman" w:cs="Times New Roman"/>
          <w:sz w:val="24"/>
          <w:szCs w:val="24"/>
        </w:rPr>
        <w:t>0</w:t>
      </w:r>
      <w:r w:rsidRPr="00F27F45">
        <w:rPr>
          <w:rFonts w:ascii="Times New Roman" w:eastAsiaTheme="minorEastAsia" w:hAnsi="Times New Roman" w:cs="Times New Roman"/>
          <w:sz w:val="24"/>
          <w:szCs w:val="24"/>
        </w:rPr>
        <w:t>%</w:t>
      </w:r>
      <w:r w:rsidR="00A61BCC">
        <w:rPr>
          <w:rFonts w:ascii="Times New Roman" w:eastAsiaTheme="minorEastAsia" w:hAnsi="Times New Roman" w:cs="Times New Roman"/>
          <w:sz w:val="24"/>
          <w:szCs w:val="24"/>
        </w:rPr>
        <w:t xml:space="preserve"> avec une contribution </w:t>
      </w:r>
      <w:r w:rsidR="00C86F61">
        <w:rPr>
          <w:rFonts w:ascii="Times New Roman" w:eastAsiaTheme="minorEastAsia" w:hAnsi="Times New Roman" w:cs="Times New Roman"/>
          <w:sz w:val="24"/>
          <w:szCs w:val="24"/>
        </w:rPr>
        <w:t xml:space="preserve">presque </w:t>
      </w:r>
      <w:r w:rsidR="00A61BCC">
        <w:rPr>
          <w:rFonts w:ascii="Times New Roman" w:eastAsiaTheme="minorEastAsia" w:hAnsi="Times New Roman" w:cs="Times New Roman"/>
          <w:sz w:val="24"/>
          <w:szCs w:val="24"/>
        </w:rPr>
        <w:t>nulle</w:t>
      </w:r>
      <w:r w:rsidRPr="00F27F45">
        <w:rPr>
          <w:rFonts w:ascii="Times New Roman" w:eastAsiaTheme="minorEastAsia" w:hAnsi="Times New Roman" w:cs="Times New Roman"/>
          <w:sz w:val="24"/>
          <w:szCs w:val="24"/>
        </w:rPr>
        <w:t xml:space="preserve"> comparée à la même période de l’année précédente. </w:t>
      </w:r>
      <w:bookmarkStart w:id="83" w:name="_Toc4757524"/>
      <w:bookmarkStart w:id="84" w:name="_Hlk4755469"/>
    </w:p>
    <w:p w14:paraId="5C7DE867" w14:textId="77777777" w:rsidR="00F27F45" w:rsidRPr="00F27F45" w:rsidRDefault="00F27F45" w:rsidP="00F27F45">
      <w:pPr>
        <w:spacing w:line="360" w:lineRule="auto"/>
        <w:jc w:val="both"/>
        <w:rPr>
          <w:rFonts w:ascii="Times New Roman" w:eastAsiaTheme="minorEastAsia" w:hAnsi="Times New Roman" w:cs="Times New Roman"/>
          <w:sz w:val="24"/>
          <w:szCs w:val="24"/>
        </w:rPr>
      </w:pPr>
      <w:bookmarkStart w:id="85" w:name="_Toc136004724"/>
      <w:r w:rsidRPr="00F27F45">
        <w:rPr>
          <w:rFonts w:asciiTheme="majorHAnsi" w:eastAsiaTheme="minorEastAsia" w:hAnsiTheme="majorHAnsi" w:cstheme="majorHAnsi"/>
          <w:b/>
          <w:sz w:val="20"/>
          <w:szCs w:val="20"/>
        </w:rPr>
        <w:t xml:space="preserve">Graphique </w:t>
      </w:r>
      <w:r w:rsidRPr="00F27F45">
        <w:rPr>
          <w:rFonts w:asciiTheme="majorHAnsi" w:eastAsiaTheme="minorEastAsia" w:hAnsiTheme="majorHAnsi" w:cstheme="majorHAnsi"/>
          <w:b/>
          <w:i/>
          <w:sz w:val="20"/>
          <w:szCs w:val="20"/>
        </w:rPr>
        <w:fldChar w:fldCharType="begin"/>
      </w:r>
      <w:r w:rsidRPr="00F27F45">
        <w:rPr>
          <w:rFonts w:asciiTheme="majorHAnsi" w:eastAsiaTheme="minorEastAsia" w:hAnsiTheme="majorHAnsi" w:cstheme="majorHAnsi"/>
          <w:b/>
          <w:sz w:val="20"/>
          <w:szCs w:val="20"/>
        </w:rPr>
        <w:instrText xml:space="preserve"> SEQ Graphique \* ARABIC </w:instrText>
      </w:r>
      <w:r w:rsidRPr="00F27F45">
        <w:rPr>
          <w:rFonts w:asciiTheme="majorHAnsi" w:eastAsiaTheme="minorEastAsia" w:hAnsiTheme="majorHAnsi" w:cstheme="majorHAnsi"/>
          <w:b/>
          <w:i/>
          <w:sz w:val="20"/>
          <w:szCs w:val="20"/>
        </w:rPr>
        <w:fldChar w:fldCharType="separate"/>
      </w:r>
      <w:r w:rsidRPr="00F27F45">
        <w:rPr>
          <w:rFonts w:asciiTheme="majorHAnsi" w:eastAsiaTheme="minorEastAsia" w:hAnsiTheme="majorHAnsi" w:cstheme="majorHAnsi"/>
          <w:b/>
          <w:noProof/>
          <w:sz w:val="20"/>
          <w:szCs w:val="20"/>
        </w:rPr>
        <w:t>12</w:t>
      </w:r>
      <w:r w:rsidRPr="00F27F45">
        <w:rPr>
          <w:rFonts w:asciiTheme="majorHAnsi" w:eastAsiaTheme="minorEastAsia" w:hAnsiTheme="majorHAnsi" w:cstheme="majorHAnsi"/>
          <w:b/>
          <w:i/>
          <w:sz w:val="20"/>
          <w:szCs w:val="20"/>
        </w:rPr>
        <w:fldChar w:fldCharType="end"/>
      </w:r>
      <w:r w:rsidRPr="00F27F45">
        <w:rPr>
          <w:rFonts w:asciiTheme="majorHAnsi" w:eastAsiaTheme="minorEastAsia" w:hAnsiTheme="majorHAnsi" w:cstheme="majorHAnsi"/>
          <w:b/>
          <w:sz w:val="20"/>
          <w:szCs w:val="20"/>
        </w:rPr>
        <w:t>: Évolution du volume d’activité du secteur immobilier</w:t>
      </w:r>
      <w:bookmarkEnd w:id="83"/>
      <w:bookmarkEnd w:id="84"/>
      <w:bookmarkEnd w:id="85"/>
    </w:p>
    <w:p w14:paraId="6549A496" w14:textId="77777777" w:rsidR="00F27F45" w:rsidRPr="00F27F45" w:rsidRDefault="00F27F45" w:rsidP="00F27F45">
      <w:pPr>
        <w:spacing w:line="360" w:lineRule="auto"/>
        <w:jc w:val="both"/>
        <w:rPr>
          <w:rFonts w:ascii="Times New Roman" w:eastAsiaTheme="minorEastAsia" w:hAnsi="Times New Roman" w:cs="Times New Roman"/>
          <w:noProof/>
          <w:sz w:val="24"/>
          <w:szCs w:val="24"/>
          <w:highlight w:val="yellow"/>
        </w:rPr>
      </w:pPr>
      <w:r w:rsidRPr="00F27F45">
        <w:rPr>
          <w:rFonts w:eastAsiaTheme="minorEastAsia"/>
          <w:noProof/>
          <w:lang w:eastAsia="fr-FR"/>
        </w:rPr>
        <w:lastRenderedPageBreak/>
        <w:drawing>
          <wp:inline distT="0" distB="0" distL="0" distR="0" wp14:anchorId="038749A2" wp14:editId="43C6FACF">
            <wp:extent cx="5334000" cy="2743200"/>
            <wp:effectExtent l="0" t="0" r="0" b="0"/>
            <wp:docPr id="33" name="Chart 35">
              <a:extLst xmlns:a="http://schemas.openxmlformats.org/drawingml/2006/main">
                <a:ext uri="{FF2B5EF4-FFF2-40B4-BE49-F238E27FC236}">
                  <a16:creationId xmlns:a16="http://schemas.microsoft.com/office/drawing/2014/main" id="{00000000-0008-0000-03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53C0148"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p>
    <w:p w14:paraId="7A0A0B7B"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rPr>
      </w:pPr>
      <w:bookmarkStart w:id="86" w:name="_Toc136004706"/>
      <w:r w:rsidRPr="00F27F45">
        <w:rPr>
          <w:rFonts w:ascii="Times New Roman" w:eastAsiaTheme="majorEastAsia" w:hAnsi="Times New Roman" w:cs="Times New Roman"/>
          <w:color w:val="1F4D78" w:themeColor="accent1" w:themeShade="7F"/>
          <w:sz w:val="24"/>
          <w:szCs w:val="24"/>
        </w:rPr>
        <w:t>III.2.6 Secteur d’activités spécialisées, scientifiques et techniques</w:t>
      </w:r>
      <w:bookmarkEnd w:id="86"/>
    </w:p>
    <w:p w14:paraId="6E677633" w14:textId="478B46B5" w:rsid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L’évolution du secteur d’activités spécialisées, scientifiques et techniques au cours du premier trimestre 2022 a connu une croissance </w:t>
      </w:r>
      <w:r w:rsidR="000039C7" w:rsidRPr="00F27F45">
        <w:rPr>
          <w:rFonts w:ascii="Times New Roman" w:eastAsiaTheme="minorEastAsia" w:hAnsi="Times New Roman" w:cs="Times New Roman"/>
          <w:sz w:val="24"/>
          <w:szCs w:val="24"/>
        </w:rPr>
        <w:t>positive</w:t>
      </w:r>
      <w:r w:rsidRPr="00F27F45">
        <w:rPr>
          <w:rFonts w:ascii="Times New Roman" w:eastAsiaTheme="minorEastAsia" w:hAnsi="Times New Roman" w:cs="Times New Roman"/>
          <w:sz w:val="24"/>
          <w:szCs w:val="24"/>
        </w:rPr>
        <w:t xml:space="preserve"> 54</w:t>
      </w:r>
      <w:r w:rsidR="00136010">
        <w:rPr>
          <w:rFonts w:ascii="Times New Roman" w:eastAsiaTheme="minorEastAsia" w:hAnsi="Times New Roman" w:cs="Times New Roman"/>
          <w:sz w:val="24"/>
          <w:szCs w:val="24"/>
        </w:rPr>
        <w:t>.7</w:t>
      </w:r>
      <w:r w:rsidRPr="00F27F45">
        <w:rPr>
          <w:rFonts w:ascii="Times New Roman" w:eastAsiaTheme="minorEastAsia" w:hAnsi="Times New Roman" w:cs="Times New Roman"/>
          <w:sz w:val="24"/>
          <w:szCs w:val="24"/>
        </w:rPr>
        <w:t>% comparée par le même trimestre de l’année 2022. Il ressort que la branche de la publicité et de l’étude de marchés a gonflé de 123</w:t>
      </w:r>
      <w:r w:rsidR="00136010">
        <w:rPr>
          <w:rFonts w:ascii="Times New Roman" w:eastAsiaTheme="minorEastAsia" w:hAnsi="Times New Roman" w:cs="Times New Roman"/>
          <w:sz w:val="24"/>
          <w:szCs w:val="24"/>
        </w:rPr>
        <w:t>.4</w:t>
      </w:r>
      <w:r w:rsidRPr="00F27F45">
        <w:rPr>
          <w:rFonts w:ascii="Times New Roman" w:eastAsiaTheme="minorEastAsia" w:hAnsi="Times New Roman" w:cs="Times New Roman"/>
          <w:sz w:val="24"/>
          <w:szCs w:val="24"/>
        </w:rPr>
        <w:t xml:space="preserve">% </w:t>
      </w:r>
      <w:r w:rsidR="00136010">
        <w:rPr>
          <w:rFonts w:ascii="Times New Roman" w:eastAsiaTheme="minorEastAsia" w:hAnsi="Times New Roman" w:cs="Times New Roman"/>
          <w:sz w:val="24"/>
          <w:szCs w:val="24"/>
        </w:rPr>
        <w:t xml:space="preserve">avec une contribution de 0.3 ponts </w:t>
      </w:r>
      <w:r w:rsidRPr="00F27F45">
        <w:rPr>
          <w:rFonts w:ascii="Times New Roman" w:eastAsiaTheme="minorEastAsia" w:hAnsi="Times New Roman" w:cs="Times New Roman"/>
          <w:sz w:val="24"/>
          <w:szCs w:val="24"/>
        </w:rPr>
        <w:t>contrairement à la branche d’activités d'architecture, d'ingénierie et techniques qui a baissé de 100,0% par suite de l’activité liée au contrôle technique qui n’est plus comptabilisé dans cette branche.</w:t>
      </w:r>
      <w:bookmarkStart w:id="87" w:name="_Toc4757525"/>
    </w:p>
    <w:p w14:paraId="122E80EF" w14:textId="77777777" w:rsidR="00F27F45" w:rsidRPr="00F27F45" w:rsidRDefault="00F27F45" w:rsidP="00F27F45">
      <w:pPr>
        <w:spacing w:line="360" w:lineRule="auto"/>
        <w:jc w:val="both"/>
        <w:rPr>
          <w:rFonts w:ascii="Times New Roman" w:eastAsiaTheme="minorEastAsia" w:hAnsi="Times New Roman" w:cs="Times New Roman"/>
          <w:sz w:val="24"/>
          <w:szCs w:val="24"/>
        </w:rPr>
      </w:pPr>
      <w:bookmarkStart w:id="88" w:name="_Toc136004725"/>
      <w:r w:rsidRPr="00F27F45">
        <w:rPr>
          <w:rFonts w:asciiTheme="majorHAnsi" w:eastAsiaTheme="minorEastAsia" w:hAnsiTheme="majorHAnsi" w:cstheme="majorHAnsi"/>
          <w:b/>
          <w:sz w:val="20"/>
          <w:szCs w:val="20"/>
        </w:rPr>
        <w:t xml:space="preserve">Graphique </w:t>
      </w:r>
      <w:r w:rsidRPr="00F27F45">
        <w:rPr>
          <w:rFonts w:asciiTheme="majorHAnsi" w:eastAsiaTheme="minorEastAsia" w:hAnsiTheme="majorHAnsi" w:cstheme="majorHAnsi"/>
          <w:b/>
          <w:i/>
          <w:sz w:val="20"/>
          <w:szCs w:val="20"/>
        </w:rPr>
        <w:fldChar w:fldCharType="begin"/>
      </w:r>
      <w:r w:rsidRPr="00F27F45">
        <w:rPr>
          <w:rFonts w:asciiTheme="majorHAnsi" w:eastAsiaTheme="minorEastAsia" w:hAnsiTheme="majorHAnsi" w:cstheme="majorHAnsi"/>
          <w:b/>
          <w:sz w:val="20"/>
          <w:szCs w:val="20"/>
        </w:rPr>
        <w:instrText xml:space="preserve"> SEQ Graphique \* ARABIC </w:instrText>
      </w:r>
      <w:r w:rsidRPr="00F27F45">
        <w:rPr>
          <w:rFonts w:asciiTheme="majorHAnsi" w:eastAsiaTheme="minorEastAsia" w:hAnsiTheme="majorHAnsi" w:cstheme="majorHAnsi"/>
          <w:b/>
          <w:i/>
          <w:sz w:val="20"/>
          <w:szCs w:val="20"/>
        </w:rPr>
        <w:fldChar w:fldCharType="separate"/>
      </w:r>
      <w:r w:rsidRPr="00F27F45">
        <w:rPr>
          <w:rFonts w:asciiTheme="majorHAnsi" w:eastAsiaTheme="minorEastAsia" w:hAnsiTheme="majorHAnsi" w:cstheme="majorHAnsi"/>
          <w:b/>
          <w:noProof/>
          <w:sz w:val="20"/>
          <w:szCs w:val="20"/>
        </w:rPr>
        <w:t>13</w:t>
      </w:r>
      <w:r w:rsidRPr="00F27F45">
        <w:rPr>
          <w:rFonts w:asciiTheme="majorHAnsi" w:eastAsiaTheme="minorEastAsia" w:hAnsiTheme="majorHAnsi" w:cstheme="majorHAnsi"/>
          <w:b/>
          <w:i/>
          <w:sz w:val="20"/>
          <w:szCs w:val="20"/>
        </w:rPr>
        <w:fldChar w:fldCharType="end"/>
      </w:r>
      <w:r w:rsidRPr="00F27F45">
        <w:rPr>
          <w:rFonts w:asciiTheme="majorHAnsi" w:eastAsiaTheme="minorEastAsia" w:hAnsiTheme="majorHAnsi" w:cstheme="majorHAnsi"/>
          <w:b/>
          <w:sz w:val="20"/>
          <w:szCs w:val="20"/>
        </w:rPr>
        <w:t xml:space="preserve">: </w:t>
      </w:r>
      <w:r w:rsidRPr="00F27F45">
        <w:rPr>
          <w:rFonts w:asciiTheme="majorHAnsi" w:eastAsiaTheme="minorEastAsia" w:hAnsiTheme="majorHAnsi" w:cstheme="majorHAnsi"/>
          <w:b/>
          <w:i/>
          <w:sz w:val="20"/>
          <w:szCs w:val="20"/>
        </w:rPr>
        <w:t>Évolution</w:t>
      </w:r>
      <w:r w:rsidRPr="00F27F45">
        <w:rPr>
          <w:rFonts w:asciiTheme="majorHAnsi" w:eastAsiaTheme="minorEastAsia" w:hAnsiTheme="majorHAnsi" w:cstheme="majorHAnsi"/>
          <w:b/>
          <w:sz w:val="20"/>
          <w:szCs w:val="20"/>
        </w:rPr>
        <w:t xml:space="preserve"> du volume d’activité du secteur d’activités spécialisées, scientifiques et techniques</w:t>
      </w:r>
      <w:bookmarkEnd w:id="87"/>
      <w:bookmarkEnd w:id="88"/>
    </w:p>
    <w:p w14:paraId="1D1514C9" w14:textId="77777777" w:rsidR="00F27F45" w:rsidRPr="00F27F45" w:rsidRDefault="00F27F45" w:rsidP="00F27F45">
      <w:pPr>
        <w:spacing w:line="360" w:lineRule="auto"/>
        <w:jc w:val="both"/>
        <w:rPr>
          <w:rFonts w:ascii="Cambria" w:eastAsiaTheme="minorEastAsia" w:hAnsi="Cambria"/>
          <w:b/>
        </w:rPr>
      </w:pPr>
      <w:r w:rsidRPr="00F27F45">
        <w:rPr>
          <w:rFonts w:eastAsiaTheme="minorEastAsia"/>
          <w:noProof/>
          <w:lang w:eastAsia="fr-FR"/>
        </w:rPr>
        <w:drawing>
          <wp:inline distT="0" distB="0" distL="0" distR="0" wp14:anchorId="14708C48" wp14:editId="64073AEE">
            <wp:extent cx="5324475" cy="2400300"/>
            <wp:effectExtent l="0" t="0" r="9525" b="0"/>
            <wp:docPr id="34" name="Chart 37">
              <a:extLst xmlns:a="http://schemas.openxmlformats.org/drawingml/2006/main">
                <a:ext uri="{FF2B5EF4-FFF2-40B4-BE49-F238E27FC236}">
                  <a16:creationId xmlns:a16="http://schemas.microsoft.com/office/drawing/2014/main" id="{00000000-0008-0000-03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CCB3331"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p>
    <w:p w14:paraId="2A77C647"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rPr>
      </w:pPr>
      <w:bookmarkStart w:id="89" w:name="_Toc136004707"/>
      <w:r w:rsidRPr="00F27F45">
        <w:rPr>
          <w:rFonts w:ascii="Times New Roman" w:eastAsiaTheme="majorEastAsia" w:hAnsi="Times New Roman" w:cs="Times New Roman"/>
          <w:color w:val="1F4D78" w:themeColor="accent1" w:themeShade="7F"/>
          <w:sz w:val="24"/>
          <w:szCs w:val="24"/>
        </w:rPr>
        <w:lastRenderedPageBreak/>
        <w:t>III.2.7 Secteur d</w:t>
      </w:r>
      <w:bookmarkStart w:id="90" w:name="_Hlk530116576"/>
      <w:r w:rsidRPr="00F27F45">
        <w:rPr>
          <w:rFonts w:ascii="Times New Roman" w:eastAsiaTheme="majorEastAsia" w:hAnsi="Times New Roman" w:cs="Times New Roman"/>
          <w:color w:val="1F4D78" w:themeColor="accent1" w:themeShade="7F"/>
          <w:sz w:val="24"/>
          <w:szCs w:val="24"/>
        </w:rPr>
        <w:t>’activités des services de soutien et de bureau</w:t>
      </w:r>
      <w:bookmarkEnd w:id="89"/>
      <w:bookmarkEnd w:id="90"/>
    </w:p>
    <w:p w14:paraId="4FFE65B6" w14:textId="76332546" w:rsidR="00F27F45" w:rsidRP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Le niveau du secteur d’activités des services de soutien et de bureau s’est caractérisé par une hausse de 9.</w:t>
      </w:r>
      <w:r w:rsidR="00136010">
        <w:rPr>
          <w:rFonts w:ascii="Times New Roman" w:eastAsiaTheme="minorEastAsia" w:hAnsi="Times New Roman" w:cs="Times New Roman"/>
          <w:sz w:val="24"/>
          <w:szCs w:val="24"/>
        </w:rPr>
        <w:t>3</w:t>
      </w:r>
      <w:r w:rsidRPr="00F27F45">
        <w:rPr>
          <w:rFonts w:ascii="Times New Roman" w:eastAsiaTheme="minorEastAsia" w:hAnsi="Times New Roman" w:cs="Times New Roman"/>
          <w:sz w:val="24"/>
          <w:szCs w:val="24"/>
        </w:rPr>
        <w:t>%</w:t>
      </w:r>
      <w:r w:rsidR="00136010">
        <w:rPr>
          <w:rFonts w:ascii="Times New Roman" w:eastAsiaTheme="minorEastAsia" w:hAnsi="Times New Roman" w:cs="Times New Roman"/>
          <w:sz w:val="24"/>
          <w:szCs w:val="24"/>
        </w:rPr>
        <w:t xml:space="preserve"> en glissement avec 0.2 points comme contribution </w:t>
      </w:r>
      <w:r w:rsidR="00136010" w:rsidRPr="00F27F45">
        <w:rPr>
          <w:rFonts w:ascii="Times New Roman" w:eastAsiaTheme="minorEastAsia" w:hAnsi="Times New Roman" w:cs="Times New Roman"/>
          <w:sz w:val="24"/>
          <w:szCs w:val="24"/>
        </w:rPr>
        <w:t>au</w:t>
      </w:r>
      <w:r w:rsidRPr="00F27F45">
        <w:rPr>
          <w:rFonts w:ascii="Times New Roman" w:eastAsiaTheme="minorEastAsia" w:hAnsi="Times New Roman" w:cs="Times New Roman"/>
          <w:sz w:val="24"/>
          <w:szCs w:val="24"/>
        </w:rPr>
        <w:t xml:space="preserve"> premier trimestre 2023 en référence à la même période de l’année précédente. En effet, les activités de location et location-bail ont augmenté de 19.</w:t>
      </w:r>
      <w:r w:rsidR="00136010">
        <w:rPr>
          <w:rFonts w:ascii="Times New Roman" w:eastAsiaTheme="minorEastAsia" w:hAnsi="Times New Roman" w:cs="Times New Roman"/>
          <w:sz w:val="24"/>
          <w:szCs w:val="24"/>
        </w:rPr>
        <w:t xml:space="preserve">8 </w:t>
      </w:r>
      <w:r w:rsidRPr="00F27F45">
        <w:rPr>
          <w:rFonts w:ascii="Times New Roman" w:eastAsiaTheme="minorEastAsia" w:hAnsi="Times New Roman" w:cs="Times New Roman"/>
          <w:sz w:val="24"/>
          <w:szCs w:val="24"/>
        </w:rPr>
        <w:t>et celui de gardiennage et de sécurité ont augmenté de 8.7%</w:t>
      </w:r>
      <w:bookmarkStart w:id="91" w:name="_Toc4757526"/>
      <w:bookmarkStart w:id="92" w:name="_Hlk4755896"/>
      <w:r w:rsidRPr="00F27F45">
        <w:rPr>
          <w:rFonts w:ascii="Times New Roman" w:eastAsiaTheme="minorEastAsia" w:hAnsi="Times New Roman" w:cs="Times New Roman"/>
          <w:sz w:val="24"/>
          <w:szCs w:val="24"/>
        </w:rPr>
        <w:t>.</w:t>
      </w:r>
    </w:p>
    <w:p w14:paraId="6D90E1BD" w14:textId="77777777" w:rsidR="00F27F45" w:rsidRPr="00F27F45" w:rsidRDefault="00F27F45" w:rsidP="00F27F45">
      <w:pPr>
        <w:spacing w:line="240" w:lineRule="auto"/>
        <w:rPr>
          <w:rFonts w:asciiTheme="majorHAnsi" w:eastAsiaTheme="minorEastAsia" w:hAnsiTheme="majorHAnsi" w:cstheme="majorHAnsi"/>
          <w:b/>
          <w:i/>
          <w:iCs/>
          <w:color w:val="44546A" w:themeColor="text2"/>
          <w:sz w:val="20"/>
          <w:szCs w:val="20"/>
        </w:rPr>
      </w:pPr>
      <w:bookmarkStart w:id="93" w:name="_Toc136004726"/>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14</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rPr>
        <w:t>: Evolution du volume d’activité du secteur des activités des services de soutien et de bureau</w:t>
      </w:r>
      <w:bookmarkEnd w:id="91"/>
      <w:bookmarkEnd w:id="92"/>
      <w:bookmarkEnd w:id="93"/>
    </w:p>
    <w:p w14:paraId="6A30FBB4" w14:textId="77777777" w:rsidR="00F27F45" w:rsidRPr="00F27F45" w:rsidRDefault="00F27F45" w:rsidP="00F27F45">
      <w:pPr>
        <w:spacing w:line="360" w:lineRule="auto"/>
        <w:jc w:val="both"/>
        <w:rPr>
          <w:rFonts w:ascii="Cambria" w:eastAsiaTheme="minorEastAsia" w:hAnsi="Cambria"/>
          <w:b/>
          <w:highlight w:val="yellow"/>
        </w:rPr>
      </w:pPr>
      <w:r w:rsidRPr="00F27F45">
        <w:rPr>
          <w:rFonts w:eastAsiaTheme="minorEastAsia"/>
          <w:noProof/>
          <w:lang w:eastAsia="fr-FR"/>
        </w:rPr>
        <w:drawing>
          <wp:inline distT="0" distB="0" distL="0" distR="0" wp14:anchorId="08C71894" wp14:editId="5906895B">
            <wp:extent cx="5357814" cy="2743200"/>
            <wp:effectExtent l="0" t="0" r="14605" b="12700"/>
            <wp:docPr id="35" name="Chart 38">
              <a:extLst xmlns:a="http://schemas.openxmlformats.org/drawingml/2006/main">
                <a:ext uri="{FF2B5EF4-FFF2-40B4-BE49-F238E27FC236}">
                  <a16:creationId xmlns:a16="http://schemas.microsoft.com/office/drawing/2014/main" id="{00000000-0008-0000-03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43525E5"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p>
    <w:p w14:paraId="35FBA58C" w14:textId="77777777" w:rsidR="00F27F45" w:rsidRPr="00F27F45" w:rsidRDefault="00F27F45" w:rsidP="00F27F45">
      <w:pPr>
        <w:rPr>
          <w:rFonts w:eastAsiaTheme="minorEastAsia"/>
        </w:rPr>
      </w:pPr>
    </w:p>
    <w:p w14:paraId="120AC04F"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rPr>
      </w:pPr>
      <w:bookmarkStart w:id="94" w:name="_Toc136004708"/>
      <w:r w:rsidRPr="00F27F45">
        <w:rPr>
          <w:rFonts w:ascii="Times New Roman" w:eastAsiaTheme="majorEastAsia" w:hAnsi="Times New Roman" w:cs="Times New Roman"/>
          <w:color w:val="1F4D78" w:themeColor="accent1" w:themeShade="7F"/>
          <w:sz w:val="24"/>
          <w:szCs w:val="24"/>
        </w:rPr>
        <w:t xml:space="preserve">III.2.8 Secteur des activités pour la </w:t>
      </w:r>
      <w:bookmarkStart w:id="95" w:name="_Hlk530117174"/>
      <w:r w:rsidRPr="00F27F45">
        <w:rPr>
          <w:rFonts w:ascii="Times New Roman" w:eastAsiaTheme="majorEastAsia" w:hAnsi="Times New Roman" w:cs="Times New Roman"/>
          <w:color w:val="1F4D78" w:themeColor="accent1" w:themeShade="7F"/>
          <w:sz w:val="24"/>
          <w:szCs w:val="24"/>
        </w:rPr>
        <w:t>santé humaine et l’action sociale</w:t>
      </w:r>
      <w:bookmarkEnd w:id="94"/>
      <w:bookmarkEnd w:id="95"/>
    </w:p>
    <w:p w14:paraId="0A786B4D" w14:textId="25F7BB3B" w:rsidR="00F3358E" w:rsidRP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Le secteur d’activités pour la santé humaine et l’action sociale au cours du quatrième trimestre 2022 s’est caractérisé par une très grande hausse de </w:t>
      </w:r>
      <w:r w:rsidR="00FD4D95">
        <w:rPr>
          <w:rFonts w:ascii="Times New Roman" w:eastAsiaTheme="minorEastAsia" w:hAnsi="Times New Roman" w:cs="Times New Roman"/>
          <w:sz w:val="24"/>
          <w:szCs w:val="24"/>
        </w:rPr>
        <w:t>49</w:t>
      </w:r>
      <w:r w:rsidRPr="00F27F45">
        <w:rPr>
          <w:rFonts w:ascii="Times New Roman" w:eastAsiaTheme="minorEastAsia" w:hAnsi="Times New Roman" w:cs="Times New Roman"/>
          <w:sz w:val="24"/>
          <w:szCs w:val="24"/>
        </w:rPr>
        <w:t>.</w:t>
      </w:r>
      <w:r w:rsidR="00FD4D95">
        <w:rPr>
          <w:rFonts w:ascii="Times New Roman" w:eastAsiaTheme="minorEastAsia" w:hAnsi="Times New Roman" w:cs="Times New Roman"/>
          <w:sz w:val="24"/>
          <w:szCs w:val="24"/>
        </w:rPr>
        <w:t>8</w:t>
      </w:r>
      <w:r w:rsidRPr="00F27F45">
        <w:rPr>
          <w:rFonts w:ascii="Times New Roman" w:eastAsiaTheme="minorEastAsia" w:hAnsi="Times New Roman" w:cs="Times New Roman"/>
          <w:sz w:val="24"/>
          <w:szCs w:val="24"/>
        </w:rPr>
        <w:t xml:space="preserve">% en </w:t>
      </w:r>
      <w:r w:rsidR="00FD4D95">
        <w:rPr>
          <w:rFonts w:ascii="Times New Roman" w:eastAsiaTheme="minorEastAsia" w:hAnsi="Times New Roman" w:cs="Times New Roman"/>
          <w:sz w:val="24"/>
          <w:szCs w:val="24"/>
        </w:rPr>
        <w:t xml:space="preserve">glissement avec une contribution presque nulle en </w:t>
      </w:r>
      <w:r w:rsidRPr="00F27F45">
        <w:rPr>
          <w:rFonts w:ascii="Times New Roman" w:eastAsiaTheme="minorEastAsia" w:hAnsi="Times New Roman" w:cs="Times New Roman"/>
          <w:sz w:val="24"/>
          <w:szCs w:val="24"/>
        </w:rPr>
        <w:t xml:space="preserve">référence à la même période de l’année précédente. </w:t>
      </w:r>
      <w:bookmarkStart w:id="96" w:name="OLE_LINK2"/>
      <w:r w:rsidRPr="00F27F45">
        <w:rPr>
          <w:rFonts w:ascii="Times New Roman" w:eastAsiaTheme="minorEastAsia" w:hAnsi="Times New Roman" w:cs="Times New Roman"/>
          <w:sz w:val="24"/>
          <w:szCs w:val="24"/>
        </w:rPr>
        <w:t xml:space="preserve">Cette hausse est </w:t>
      </w:r>
      <w:r w:rsidR="00FD4D95">
        <w:rPr>
          <w:rFonts w:ascii="Times New Roman" w:eastAsiaTheme="minorEastAsia" w:hAnsi="Times New Roman" w:cs="Times New Roman"/>
          <w:sz w:val="24"/>
          <w:szCs w:val="24"/>
        </w:rPr>
        <w:t>causée par les activités pour la santé humaine à l’ordre de 72.4% et une diminution de 29.2% pour le secteur de l’enseignement.</w:t>
      </w:r>
    </w:p>
    <w:p w14:paraId="6FFE2549" w14:textId="77777777" w:rsidR="00F27F45" w:rsidRPr="00F27F45" w:rsidRDefault="00F27F45" w:rsidP="00F27F45">
      <w:pPr>
        <w:spacing w:line="240" w:lineRule="auto"/>
        <w:rPr>
          <w:rFonts w:asciiTheme="majorHAnsi" w:eastAsiaTheme="minorEastAsia" w:hAnsiTheme="majorHAnsi" w:cstheme="majorHAnsi"/>
          <w:b/>
          <w:iCs/>
          <w:color w:val="44546A" w:themeColor="text2"/>
          <w:sz w:val="20"/>
          <w:szCs w:val="20"/>
        </w:rPr>
      </w:pPr>
      <w:bookmarkStart w:id="97" w:name="_Toc136004727"/>
      <w:bookmarkEnd w:id="96"/>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15</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rPr>
        <w:t>: Évolution du volume d’activité du secteur des activités pour la santé humaine et l’action sociale</w:t>
      </w:r>
      <w:bookmarkEnd w:id="97"/>
    </w:p>
    <w:p w14:paraId="03E96180" w14:textId="74AC8EC5" w:rsidR="00F27F45" w:rsidRPr="00F27F45" w:rsidRDefault="000039C7" w:rsidP="00F27F45">
      <w:pPr>
        <w:spacing w:line="360" w:lineRule="auto"/>
        <w:jc w:val="both"/>
        <w:rPr>
          <w:rFonts w:ascii="Times New Roman" w:eastAsiaTheme="minorEastAsia" w:hAnsi="Times New Roman" w:cs="Times New Roman"/>
          <w:sz w:val="24"/>
          <w:szCs w:val="24"/>
          <w:highlight w:val="yellow"/>
        </w:rPr>
      </w:pPr>
      <w:r>
        <w:rPr>
          <w:noProof/>
          <w:lang w:eastAsia="fr-FR"/>
        </w:rPr>
        <w:lastRenderedPageBreak/>
        <w:drawing>
          <wp:inline distT="0" distB="0" distL="0" distR="0" wp14:anchorId="1AEE0405" wp14:editId="1DF0484E">
            <wp:extent cx="5281295" cy="2381250"/>
            <wp:effectExtent l="0" t="0" r="14605" b="0"/>
            <wp:docPr id="51" name="Graphique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B4E2845"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p>
    <w:p w14:paraId="706B9E74" w14:textId="346B8AEC" w:rsidR="00F27F45" w:rsidRPr="00F27F45" w:rsidRDefault="00794362" w:rsidP="00F27F45">
      <w:pPr>
        <w:spacing w:line="360" w:lineRule="auto"/>
        <w:jc w:val="both"/>
        <w:rPr>
          <w:rFonts w:ascii="Times New Roman" w:eastAsiaTheme="majorEastAsia" w:hAnsi="Times New Roman" w:cs="Times New Roman"/>
          <w:color w:val="1F4D78" w:themeColor="accent1" w:themeShade="7F"/>
          <w:sz w:val="24"/>
          <w:szCs w:val="24"/>
        </w:rPr>
      </w:pPr>
      <w:r>
        <w:rPr>
          <w:rFonts w:ascii="Cambria" w:eastAsiaTheme="minorEastAsia" w:hAnsi="Cambria"/>
          <w:b/>
        </w:rPr>
        <w:t xml:space="preserve">                           </w:t>
      </w:r>
      <w:r w:rsidR="00F27F45" w:rsidRPr="00F27F45">
        <w:rPr>
          <w:rFonts w:ascii="Times New Roman" w:eastAsiaTheme="majorEastAsia" w:hAnsi="Times New Roman" w:cs="Times New Roman"/>
          <w:color w:val="1F4D78" w:themeColor="accent1" w:themeShade="7F"/>
          <w:sz w:val="24"/>
          <w:szCs w:val="24"/>
        </w:rPr>
        <w:t xml:space="preserve">   III.2.9 Secteur des activités de l’enseignement</w:t>
      </w:r>
    </w:p>
    <w:p w14:paraId="6BAABB9A" w14:textId="4C5DACD5" w:rsidR="00F27F45" w:rsidRP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Le secteur de l’enseignement au cours du premier trimestre de 2023 s’est caractérisé par une croissance négative de </w:t>
      </w:r>
      <w:r w:rsidR="00FD4D95">
        <w:rPr>
          <w:rFonts w:ascii="Times New Roman" w:eastAsiaTheme="minorEastAsia" w:hAnsi="Times New Roman" w:cs="Times New Roman"/>
          <w:sz w:val="24"/>
          <w:szCs w:val="24"/>
        </w:rPr>
        <w:t>29.2</w:t>
      </w:r>
      <w:r w:rsidRPr="00F27F45">
        <w:rPr>
          <w:rFonts w:ascii="Times New Roman" w:eastAsiaTheme="minorEastAsia" w:hAnsi="Times New Roman" w:cs="Times New Roman"/>
          <w:sz w:val="24"/>
          <w:szCs w:val="24"/>
        </w:rPr>
        <w:t xml:space="preserve">%. En référence á la même période de l’année précédente. Cette </w:t>
      </w:r>
      <w:r w:rsidR="00FD4D95">
        <w:rPr>
          <w:rFonts w:ascii="Times New Roman" w:eastAsiaTheme="minorEastAsia" w:hAnsi="Times New Roman" w:cs="Times New Roman"/>
          <w:sz w:val="24"/>
          <w:szCs w:val="24"/>
        </w:rPr>
        <w:t xml:space="preserve">diminution </w:t>
      </w:r>
      <w:r w:rsidRPr="00F27F45">
        <w:rPr>
          <w:rFonts w:ascii="Times New Roman" w:eastAsiaTheme="minorEastAsia" w:hAnsi="Times New Roman" w:cs="Times New Roman"/>
          <w:sz w:val="24"/>
          <w:szCs w:val="24"/>
        </w:rPr>
        <w:t xml:space="preserve">est due par </w:t>
      </w:r>
      <w:r w:rsidR="00FD4D95" w:rsidRPr="00F27F45">
        <w:rPr>
          <w:rFonts w:ascii="Times New Roman" w:eastAsiaTheme="minorEastAsia" w:hAnsi="Times New Roman" w:cs="Times New Roman"/>
          <w:sz w:val="24"/>
          <w:szCs w:val="24"/>
        </w:rPr>
        <w:t>la faite</w:t>
      </w:r>
      <w:r w:rsidRPr="00F27F45">
        <w:rPr>
          <w:rFonts w:ascii="Times New Roman" w:eastAsiaTheme="minorEastAsia" w:hAnsi="Times New Roman" w:cs="Times New Roman"/>
          <w:sz w:val="24"/>
          <w:szCs w:val="24"/>
        </w:rPr>
        <w:t xml:space="preserve"> que cette entreprise est le seul tiré dans notre échantillon.si la production augmente</w:t>
      </w:r>
      <w:r w:rsidR="00FD4D95">
        <w:rPr>
          <w:rFonts w:ascii="Times New Roman" w:eastAsiaTheme="minorEastAsia" w:hAnsi="Times New Roman" w:cs="Times New Roman"/>
          <w:sz w:val="24"/>
          <w:szCs w:val="24"/>
        </w:rPr>
        <w:t xml:space="preserve"> ou diminue </w:t>
      </w:r>
      <w:r w:rsidR="00FD4D95" w:rsidRPr="00F27F45">
        <w:rPr>
          <w:rFonts w:ascii="Times New Roman" w:eastAsiaTheme="minorEastAsia" w:hAnsi="Times New Roman" w:cs="Times New Roman"/>
          <w:sz w:val="24"/>
          <w:szCs w:val="24"/>
        </w:rPr>
        <w:t>elle</w:t>
      </w:r>
      <w:r w:rsidRPr="00F27F45">
        <w:rPr>
          <w:rFonts w:ascii="Times New Roman" w:eastAsiaTheme="minorEastAsia" w:hAnsi="Times New Roman" w:cs="Times New Roman"/>
          <w:sz w:val="24"/>
          <w:szCs w:val="24"/>
        </w:rPr>
        <w:t xml:space="preserve"> affecte </w:t>
      </w:r>
      <w:r w:rsidR="00E646D5" w:rsidRPr="00F27F45">
        <w:rPr>
          <w:rFonts w:ascii="Times New Roman" w:eastAsiaTheme="minorEastAsia" w:hAnsi="Times New Roman" w:cs="Times New Roman"/>
          <w:sz w:val="24"/>
          <w:szCs w:val="24"/>
        </w:rPr>
        <w:t>tout le secteur</w:t>
      </w:r>
      <w:r w:rsidR="00FD4D95">
        <w:rPr>
          <w:rFonts w:ascii="Times New Roman" w:eastAsiaTheme="minorEastAsia" w:hAnsi="Times New Roman" w:cs="Times New Roman"/>
          <w:sz w:val="24"/>
          <w:szCs w:val="24"/>
        </w:rPr>
        <w:t>.</w:t>
      </w:r>
    </w:p>
    <w:p w14:paraId="6BBD6080" w14:textId="77777777" w:rsidR="00F27F45" w:rsidRPr="00F27F45" w:rsidRDefault="00F27F45" w:rsidP="00F27F45">
      <w:pPr>
        <w:keepNext/>
        <w:keepLines/>
        <w:spacing w:before="40" w:after="0" w:line="480" w:lineRule="auto"/>
        <w:jc w:val="center"/>
        <w:outlineLvl w:val="2"/>
        <w:rPr>
          <w:rFonts w:ascii="Times New Roman" w:eastAsiaTheme="majorEastAsia" w:hAnsi="Times New Roman" w:cs="Times New Roman"/>
          <w:color w:val="1F4D78" w:themeColor="accent1" w:themeShade="7F"/>
          <w:sz w:val="24"/>
          <w:szCs w:val="24"/>
        </w:rPr>
      </w:pPr>
      <w:bookmarkStart w:id="98" w:name="_Toc136004709"/>
      <w:r w:rsidRPr="00F27F45">
        <w:rPr>
          <w:rFonts w:ascii="Times New Roman" w:eastAsiaTheme="majorEastAsia" w:hAnsi="Times New Roman" w:cs="Times New Roman"/>
          <w:color w:val="1F4D78" w:themeColor="accent1" w:themeShade="7F"/>
          <w:sz w:val="24"/>
          <w:szCs w:val="24"/>
        </w:rPr>
        <w:t>III.2.10 Secteur des activités artistiques, sportives et récréatives</w:t>
      </w:r>
      <w:bookmarkEnd w:id="98"/>
    </w:p>
    <w:p w14:paraId="5B2BEC9C" w14:textId="21AEF32A" w:rsidR="00F27F45" w:rsidRPr="00F27F45" w:rsidRDefault="00F27F45" w:rsidP="00F27F45">
      <w:pPr>
        <w:spacing w:line="360" w:lineRule="auto"/>
        <w:jc w:val="both"/>
        <w:rPr>
          <w:rFonts w:ascii="Times New Roman" w:eastAsiaTheme="minorEastAsia" w:hAnsi="Times New Roman" w:cs="Times New Roman"/>
          <w:sz w:val="24"/>
          <w:szCs w:val="24"/>
        </w:rPr>
      </w:pPr>
      <w:r w:rsidRPr="00F27F45">
        <w:rPr>
          <w:rFonts w:ascii="Times New Roman" w:eastAsiaTheme="minorEastAsia" w:hAnsi="Times New Roman" w:cs="Times New Roman"/>
          <w:sz w:val="24"/>
          <w:szCs w:val="24"/>
        </w:rPr>
        <w:t xml:space="preserve">Au cours du premier trimestre 2023, le secteur des activités artistiques, sportives et récréatives a diminué avec un taux de croissance négative de </w:t>
      </w:r>
      <w:r w:rsidR="00FD4D95">
        <w:rPr>
          <w:rFonts w:ascii="Times New Roman" w:eastAsiaTheme="minorEastAsia" w:hAnsi="Times New Roman" w:cs="Times New Roman"/>
          <w:sz w:val="24"/>
          <w:szCs w:val="24"/>
        </w:rPr>
        <w:t>5.5</w:t>
      </w:r>
      <w:r w:rsidRPr="00F27F45">
        <w:rPr>
          <w:rFonts w:ascii="Times New Roman" w:eastAsiaTheme="minorEastAsia" w:hAnsi="Times New Roman" w:cs="Times New Roman"/>
          <w:sz w:val="24"/>
          <w:szCs w:val="24"/>
        </w:rPr>
        <w:t>%</w:t>
      </w:r>
      <w:r w:rsidR="00FD4D95">
        <w:rPr>
          <w:rFonts w:ascii="Times New Roman" w:eastAsiaTheme="minorEastAsia" w:hAnsi="Times New Roman" w:cs="Times New Roman"/>
          <w:sz w:val="24"/>
          <w:szCs w:val="24"/>
        </w:rPr>
        <w:t xml:space="preserve"> cette est causée par</w:t>
      </w:r>
      <w:r w:rsidRPr="00F27F45">
        <w:rPr>
          <w:rFonts w:ascii="Times New Roman" w:eastAsiaTheme="minorEastAsia" w:hAnsi="Times New Roman" w:cs="Times New Roman"/>
          <w:sz w:val="24"/>
          <w:szCs w:val="24"/>
        </w:rPr>
        <w:t xml:space="preserve"> </w:t>
      </w:r>
      <w:r w:rsidR="00FD4D95">
        <w:rPr>
          <w:rFonts w:ascii="Times New Roman" w:eastAsiaTheme="minorEastAsia" w:hAnsi="Times New Roman" w:cs="Times New Roman"/>
          <w:sz w:val="24"/>
          <w:szCs w:val="24"/>
        </w:rPr>
        <w:t xml:space="preserve">le secteur </w:t>
      </w:r>
      <w:r w:rsidR="00E646D5">
        <w:rPr>
          <w:rFonts w:ascii="Times New Roman" w:eastAsiaTheme="minorEastAsia" w:hAnsi="Times New Roman" w:cs="Times New Roman"/>
          <w:sz w:val="24"/>
          <w:szCs w:val="24"/>
        </w:rPr>
        <w:t>d’organisation</w:t>
      </w:r>
      <w:r w:rsidR="00FD4D95">
        <w:rPr>
          <w:rFonts w:ascii="Times New Roman" w:eastAsiaTheme="minorEastAsia" w:hAnsi="Times New Roman" w:cs="Times New Roman"/>
          <w:sz w:val="24"/>
          <w:szCs w:val="24"/>
        </w:rPr>
        <w:t xml:space="preserve"> de jeux de hasard et d’argent qui a chuté de 18 % </w:t>
      </w:r>
      <w:r w:rsidRPr="00F27F45">
        <w:rPr>
          <w:rFonts w:ascii="Times New Roman" w:eastAsiaTheme="minorEastAsia" w:hAnsi="Times New Roman" w:cs="Times New Roman"/>
          <w:sz w:val="24"/>
          <w:szCs w:val="24"/>
        </w:rPr>
        <w:t xml:space="preserve">en glissement annuel. Cette diminution aurait </w:t>
      </w:r>
      <w:r w:rsidR="00E646D5">
        <w:rPr>
          <w:rFonts w:ascii="Times New Roman" w:eastAsiaTheme="minorEastAsia" w:hAnsi="Times New Roman" w:cs="Times New Roman"/>
          <w:sz w:val="24"/>
          <w:szCs w:val="24"/>
        </w:rPr>
        <w:t xml:space="preserve">été </w:t>
      </w:r>
      <w:r w:rsidRPr="00F27F45">
        <w:rPr>
          <w:rFonts w:ascii="Times New Roman" w:eastAsiaTheme="minorEastAsia" w:hAnsi="Times New Roman" w:cs="Times New Roman"/>
          <w:sz w:val="24"/>
          <w:szCs w:val="24"/>
        </w:rPr>
        <w:t xml:space="preserve">dû </w:t>
      </w:r>
      <w:r w:rsidR="00FD4D95" w:rsidRPr="00F27F45">
        <w:rPr>
          <w:rFonts w:ascii="Times New Roman" w:eastAsiaTheme="minorEastAsia" w:hAnsi="Times New Roman" w:cs="Times New Roman"/>
          <w:sz w:val="24"/>
          <w:szCs w:val="24"/>
        </w:rPr>
        <w:t>à la fermeture</w:t>
      </w:r>
      <w:r w:rsidRPr="00F27F45">
        <w:rPr>
          <w:rFonts w:ascii="Times New Roman" w:eastAsiaTheme="minorEastAsia" w:hAnsi="Times New Roman" w:cs="Times New Roman"/>
          <w:sz w:val="24"/>
          <w:szCs w:val="24"/>
        </w:rPr>
        <w:t xml:space="preserve"> de l’entreprise LYDIA </w:t>
      </w:r>
      <w:r w:rsidR="00794362" w:rsidRPr="00F27F45">
        <w:rPr>
          <w:rFonts w:ascii="Times New Roman" w:eastAsiaTheme="minorEastAsia" w:hAnsi="Times New Roman" w:cs="Times New Roman"/>
          <w:sz w:val="24"/>
          <w:szCs w:val="24"/>
        </w:rPr>
        <w:t>LYDIC</w:t>
      </w:r>
      <w:r w:rsidR="00E646D5">
        <w:rPr>
          <w:rFonts w:ascii="Times New Roman" w:eastAsiaTheme="minorEastAsia" w:hAnsi="Times New Roman" w:cs="Times New Roman"/>
          <w:sz w:val="24"/>
          <w:szCs w:val="24"/>
        </w:rPr>
        <w:t>.</w:t>
      </w:r>
    </w:p>
    <w:p w14:paraId="3B3F98DC" w14:textId="77777777" w:rsidR="00F27F45" w:rsidRPr="00F27F45" w:rsidRDefault="00F27F45" w:rsidP="00F27F45">
      <w:pPr>
        <w:spacing w:line="240" w:lineRule="auto"/>
        <w:rPr>
          <w:rFonts w:asciiTheme="majorHAnsi" w:eastAsiaTheme="minorEastAsia" w:hAnsiTheme="majorHAnsi" w:cstheme="majorHAnsi"/>
          <w:b/>
          <w:i/>
          <w:iCs/>
          <w:color w:val="44546A" w:themeColor="text2"/>
          <w:sz w:val="20"/>
          <w:szCs w:val="20"/>
        </w:rPr>
      </w:pPr>
      <w:bookmarkStart w:id="99" w:name="_Toc4757527"/>
      <w:bookmarkStart w:id="100" w:name="_Toc136004728"/>
      <w:r w:rsidRPr="00F27F45">
        <w:rPr>
          <w:rFonts w:asciiTheme="majorHAnsi" w:eastAsiaTheme="minorEastAsia" w:hAnsiTheme="majorHAnsi" w:cstheme="majorHAnsi"/>
          <w:b/>
          <w:iCs/>
          <w:color w:val="44546A" w:themeColor="text2"/>
          <w:sz w:val="20"/>
          <w:szCs w:val="20"/>
        </w:rPr>
        <w:t xml:space="preserve">Graphique </w:t>
      </w:r>
      <w:r w:rsidRPr="00F27F45">
        <w:rPr>
          <w:rFonts w:asciiTheme="majorHAnsi" w:eastAsiaTheme="minorEastAsia" w:hAnsiTheme="majorHAnsi" w:cstheme="majorHAnsi"/>
          <w:b/>
          <w:iCs/>
          <w:color w:val="44546A" w:themeColor="text2"/>
          <w:sz w:val="20"/>
          <w:szCs w:val="20"/>
        </w:rPr>
        <w:fldChar w:fldCharType="begin"/>
      </w:r>
      <w:r w:rsidRPr="00F27F45">
        <w:rPr>
          <w:rFonts w:asciiTheme="majorHAnsi" w:eastAsiaTheme="minorEastAsia" w:hAnsiTheme="majorHAnsi" w:cstheme="majorHAnsi"/>
          <w:b/>
          <w:iCs/>
          <w:color w:val="44546A" w:themeColor="text2"/>
          <w:sz w:val="20"/>
          <w:szCs w:val="20"/>
        </w:rPr>
        <w:instrText xml:space="preserve"> SEQ Graphique \* ARABIC </w:instrText>
      </w:r>
      <w:r w:rsidRPr="00F27F45">
        <w:rPr>
          <w:rFonts w:asciiTheme="majorHAnsi" w:eastAsiaTheme="minorEastAsia" w:hAnsiTheme="majorHAnsi" w:cstheme="majorHAnsi"/>
          <w:b/>
          <w:iCs/>
          <w:color w:val="44546A" w:themeColor="text2"/>
          <w:sz w:val="20"/>
          <w:szCs w:val="20"/>
        </w:rPr>
        <w:fldChar w:fldCharType="separate"/>
      </w:r>
      <w:r w:rsidRPr="00F27F45">
        <w:rPr>
          <w:rFonts w:asciiTheme="majorHAnsi" w:eastAsiaTheme="minorEastAsia" w:hAnsiTheme="majorHAnsi" w:cstheme="majorHAnsi"/>
          <w:b/>
          <w:iCs/>
          <w:noProof/>
          <w:color w:val="44546A" w:themeColor="text2"/>
          <w:sz w:val="20"/>
          <w:szCs w:val="20"/>
        </w:rPr>
        <w:t>16</w:t>
      </w:r>
      <w:r w:rsidRPr="00F27F45">
        <w:rPr>
          <w:rFonts w:asciiTheme="majorHAnsi" w:eastAsiaTheme="minorEastAsia" w:hAnsiTheme="majorHAnsi" w:cstheme="majorHAnsi"/>
          <w:b/>
          <w:iCs/>
          <w:color w:val="44546A" w:themeColor="text2"/>
          <w:sz w:val="20"/>
          <w:szCs w:val="20"/>
        </w:rPr>
        <w:fldChar w:fldCharType="end"/>
      </w:r>
      <w:r w:rsidRPr="00F27F45">
        <w:rPr>
          <w:rFonts w:asciiTheme="majorHAnsi" w:eastAsiaTheme="minorEastAsia" w:hAnsiTheme="majorHAnsi" w:cstheme="majorHAnsi"/>
          <w:b/>
          <w:iCs/>
          <w:color w:val="44546A" w:themeColor="text2"/>
          <w:sz w:val="20"/>
          <w:szCs w:val="20"/>
        </w:rPr>
        <w:t xml:space="preserve">: Évolution du volume d’activité du secteur </w:t>
      </w:r>
      <w:bookmarkEnd w:id="99"/>
      <w:r w:rsidRPr="00F27F45">
        <w:rPr>
          <w:rFonts w:asciiTheme="majorHAnsi" w:eastAsiaTheme="minorEastAsia" w:hAnsiTheme="majorHAnsi" w:cstheme="majorHAnsi"/>
          <w:b/>
          <w:iCs/>
          <w:color w:val="44546A" w:themeColor="text2"/>
          <w:sz w:val="20"/>
          <w:szCs w:val="20"/>
        </w:rPr>
        <w:t>des activités artistiques, sportives et récréatives</w:t>
      </w:r>
      <w:bookmarkEnd w:id="100"/>
    </w:p>
    <w:p w14:paraId="11D7F2D6" w14:textId="77777777" w:rsidR="00F27F45" w:rsidRPr="00F27F45" w:rsidRDefault="00F27F45" w:rsidP="00F27F45">
      <w:pPr>
        <w:spacing w:line="360" w:lineRule="auto"/>
        <w:jc w:val="both"/>
        <w:rPr>
          <w:rFonts w:ascii="Times New Roman" w:eastAsiaTheme="minorEastAsia" w:hAnsi="Times New Roman" w:cs="Times New Roman"/>
          <w:sz w:val="24"/>
          <w:szCs w:val="24"/>
          <w:highlight w:val="yellow"/>
        </w:rPr>
      </w:pPr>
      <w:r w:rsidRPr="00F27F45">
        <w:rPr>
          <w:rFonts w:eastAsiaTheme="minorEastAsia"/>
          <w:noProof/>
          <w:lang w:eastAsia="fr-FR"/>
        </w:rPr>
        <w:drawing>
          <wp:inline distT="0" distB="0" distL="0" distR="0" wp14:anchorId="35EE3EE7" wp14:editId="7B0913E3">
            <wp:extent cx="5410200" cy="2028825"/>
            <wp:effectExtent l="0" t="0" r="0" b="9525"/>
            <wp:docPr id="37" name="Chart 40">
              <a:extLst xmlns:a="http://schemas.openxmlformats.org/drawingml/2006/main">
                <a:ext uri="{FF2B5EF4-FFF2-40B4-BE49-F238E27FC236}">
                  <a16:creationId xmlns:a16="http://schemas.microsoft.com/office/drawing/2014/main" id="{00000000-0008-0000-03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48BB716" w14:textId="77777777" w:rsidR="00F27F45" w:rsidRPr="00F27F45" w:rsidRDefault="00F27F45" w:rsidP="00F27F45">
      <w:pPr>
        <w:spacing w:line="360" w:lineRule="auto"/>
        <w:jc w:val="both"/>
        <w:rPr>
          <w:rFonts w:ascii="Cambria" w:eastAsiaTheme="minorEastAsia" w:hAnsi="Cambria"/>
          <w:b/>
        </w:rPr>
      </w:pPr>
      <w:r w:rsidRPr="00F27F45">
        <w:rPr>
          <w:rFonts w:ascii="Cambria" w:eastAsiaTheme="minorEastAsia" w:hAnsi="Cambria"/>
          <w:b/>
        </w:rPr>
        <w:t>Source : INSBU, calcul de l’ICA, base 2018=100</w:t>
      </w:r>
      <w:bookmarkStart w:id="101" w:name="_Toc530553257"/>
    </w:p>
    <w:p w14:paraId="1EFB9B70" w14:textId="77777777" w:rsidR="00F27F45" w:rsidRPr="00F27F45" w:rsidRDefault="00F27F45" w:rsidP="00F27F45">
      <w:pPr>
        <w:keepNext/>
        <w:spacing w:before="240" w:after="60" w:line="240" w:lineRule="auto"/>
        <w:outlineLvl w:val="0"/>
        <w:rPr>
          <w:rFonts w:ascii="Times New Roman" w:eastAsiaTheme="majorEastAsia" w:hAnsi="Times New Roman" w:cs="Times New Roman"/>
          <w:b/>
          <w:bCs/>
          <w:color w:val="0070C0"/>
          <w:kern w:val="32"/>
          <w:sz w:val="32"/>
          <w:szCs w:val="32"/>
          <w:shd w:val="clear" w:color="auto" w:fill="FFFFFF"/>
          <w:lang w:eastAsia="fr-FR"/>
        </w:rPr>
      </w:pPr>
    </w:p>
    <w:p w14:paraId="3586E65D" w14:textId="77777777" w:rsidR="00F27F45" w:rsidRPr="00F27F45" w:rsidRDefault="00F27F45" w:rsidP="00F27F45">
      <w:pPr>
        <w:keepNext/>
        <w:spacing w:before="240" w:after="60" w:line="240" w:lineRule="auto"/>
        <w:outlineLvl w:val="0"/>
        <w:rPr>
          <w:rFonts w:ascii="Times New Roman" w:eastAsiaTheme="majorEastAsia" w:hAnsi="Times New Roman" w:cs="Times New Roman"/>
          <w:b/>
          <w:bCs/>
          <w:color w:val="0070C0"/>
          <w:kern w:val="32"/>
          <w:sz w:val="32"/>
          <w:szCs w:val="32"/>
          <w:shd w:val="clear" w:color="auto" w:fill="FFFFFF"/>
          <w:lang w:eastAsia="fr-FR"/>
        </w:rPr>
      </w:pPr>
    </w:p>
    <w:p w14:paraId="13404CFD" w14:textId="77777777" w:rsidR="00F27F45" w:rsidRPr="00F27F45" w:rsidRDefault="00F27F45" w:rsidP="00F27F45">
      <w:pPr>
        <w:keepNext/>
        <w:spacing w:before="240" w:after="60" w:line="240" w:lineRule="auto"/>
        <w:outlineLvl w:val="0"/>
        <w:rPr>
          <w:rFonts w:ascii="Times New Roman" w:eastAsiaTheme="majorEastAsia" w:hAnsi="Times New Roman" w:cs="Times New Roman"/>
          <w:b/>
          <w:bCs/>
          <w:color w:val="0070C0"/>
          <w:kern w:val="32"/>
          <w:sz w:val="32"/>
          <w:szCs w:val="32"/>
          <w:shd w:val="clear" w:color="auto" w:fill="FFFFFF"/>
          <w:lang w:eastAsia="fr-FR"/>
        </w:rPr>
      </w:pPr>
    </w:p>
    <w:p w14:paraId="24D6392A" w14:textId="77777777" w:rsidR="00F27F45" w:rsidRPr="00F27F45" w:rsidRDefault="00F27F45" w:rsidP="00F27F45">
      <w:pPr>
        <w:keepNext/>
        <w:spacing w:before="240" w:after="60" w:line="240" w:lineRule="auto"/>
        <w:outlineLvl w:val="0"/>
        <w:rPr>
          <w:rFonts w:ascii="Times New Roman" w:eastAsiaTheme="majorEastAsia" w:hAnsi="Times New Roman" w:cs="Times New Roman"/>
          <w:b/>
          <w:bCs/>
          <w:color w:val="0070C0"/>
          <w:kern w:val="32"/>
          <w:sz w:val="32"/>
          <w:szCs w:val="32"/>
          <w:shd w:val="clear" w:color="auto" w:fill="FFFFFF"/>
          <w:lang w:eastAsia="fr-FR"/>
        </w:rPr>
      </w:pPr>
    </w:p>
    <w:p w14:paraId="495BBD06" w14:textId="77777777" w:rsidR="00F27F45" w:rsidRPr="00F27F45" w:rsidRDefault="00F27F45" w:rsidP="00F27F45">
      <w:pPr>
        <w:keepNext/>
        <w:spacing w:before="240" w:after="60" w:line="240" w:lineRule="auto"/>
        <w:jc w:val="center"/>
        <w:outlineLvl w:val="0"/>
        <w:rPr>
          <w:rFonts w:ascii="Times New Roman" w:eastAsiaTheme="majorEastAsia" w:hAnsi="Times New Roman" w:cs="Times New Roman"/>
          <w:b/>
          <w:bCs/>
          <w:color w:val="0070C0"/>
          <w:kern w:val="32"/>
          <w:sz w:val="144"/>
          <w:szCs w:val="144"/>
          <w:shd w:val="clear" w:color="auto" w:fill="FFFFFF"/>
          <w:lang w:eastAsia="fr-FR"/>
        </w:rPr>
      </w:pPr>
    </w:p>
    <w:p w14:paraId="5F6F74EE" w14:textId="01453500" w:rsidR="00F27F45" w:rsidRDefault="00F27F45" w:rsidP="00F27F45">
      <w:pPr>
        <w:keepNext/>
        <w:spacing w:before="240" w:after="60" w:line="240" w:lineRule="auto"/>
        <w:jc w:val="center"/>
        <w:outlineLvl w:val="0"/>
        <w:rPr>
          <w:rFonts w:ascii="Times New Roman" w:eastAsiaTheme="majorEastAsia" w:hAnsi="Times New Roman" w:cs="Times New Roman"/>
          <w:b/>
          <w:bCs/>
          <w:color w:val="0070C0"/>
          <w:kern w:val="32"/>
          <w:sz w:val="144"/>
          <w:szCs w:val="144"/>
          <w:shd w:val="clear" w:color="auto" w:fill="FFFFFF"/>
          <w:lang w:eastAsia="fr-FR"/>
        </w:rPr>
      </w:pPr>
      <w:bookmarkStart w:id="102" w:name="_Toc136004710"/>
      <w:r w:rsidRPr="00F27F45">
        <w:rPr>
          <w:rFonts w:ascii="Times New Roman" w:eastAsiaTheme="majorEastAsia" w:hAnsi="Times New Roman" w:cs="Times New Roman"/>
          <w:b/>
          <w:bCs/>
          <w:color w:val="0070C0"/>
          <w:kern w:val="32"/>
          <w:sz w:val="144"/>
          <w:szCs w:val="144"/>
          <w:shd w:val="clear" w:color="auto" w:fill="FFFFFF"/>
          <w:lang w:eastAsia="fr-FR"/>
        </w:rPr>
        <w:t>Annexes</w:t>
      </w:r>
      <w:bookmarkEnd w:id="101"/>
      <w:bookmarkEnd w:id="102"/>
    </w:p>
    <w:p w14:paraId="570F033C" w14:textId="77777777" w:rsidR="00017F9A" w:rsidRPr="00F27F45" w:rsidRDefault="00017F9A" w:rsidP="00F27F45">
      <w:pPr>
        <w:keepNext/>
        <w:spacing w:before="240" w:after="60" w:line="240" w:lineRule="auto"/>
        <w:jc w:val="center"/>
        <w:outlineLvl w:val="0"/>
        <w:rPr>
          <w:rFonts w:ascii="Times New Roman" w:eastAsiaTheme="majorEastAsia" w:hAnsi="Times New Roman" w:cs="Times New Roman"/>
          <w:b/>
          <w:bCs/>
          <w:color w:val="0070C0"/>
          <w:kern w:val="32"/>
          <w:sz w:val="144"/>
          <w:szCs w:val="144"/>
          <w:shd w:val="clear" w:color="auto" w:fill="FFFFFF"/>
          <w:lang w:eastAsia="fr-FR"/>
        </w:rPr>
      </w:pPr>
    </w:p>
    <w:p w14:paraId="51E5C1ED" w14:textId="77777777" w:rsidR="00F27F45" w:rsidRPr="00F27F45" w:rsidRDefault="00F27F45" w:rsidP="00F27F45">
      <w:pPr>
        <w:rPr>
          <w:rFonts w:eastAsiaTheme="minorEastAsia"/>
          <w:lang w:eastAsia="fr-FR"/>
        </w:rPr>
      </w:pPr>
    </w:p>
    <w:p w14:paraId="764D7769" w14:textId="77777777" w:rsidR="00F27F45" w:rsidRPr="00F27F45" w:rsidRDefault="00F27F45" w:rsidP="00F27F45">
      <w:pPr>
        <w:rPr>
          <w:rFonts w:eastAsiaTheme="minorEastAsia"/>
          <w:lang w:eastAsia="fr-FR"/>
        </w:rPr>
      </w:pPr>
    </w:p>
    <w:p w14:paraId="14EB00F1" w14:textId="77777777" w:rsidR="00F27F45" w:rsidRPr="00F27F45" w:rsidRDefault="00F27F45" w:rsidP="00F27F45">
      <w:pPr>
        <w:rPr>
          <w:rFonts w:eastAsiaTheme="minorEastAsia"/>
          <w:lang w:eastAsia="fr-FR"/>
        </w:rPr>
      </w:pPr>
    </w:p>
    <w:p w14:paraId="168FD287" w14:textId="77777777" w:rsidR="00F27F45" w:rsidRPr="00F27F45" w:rsidRDefault="00F27F45" w:rsidP="00F27F45">
      <w:pPr>
        <w:rPr>
          <w:rFonts w:eastAsiaTheme="minorEastAsia"/>
          <w:lang w:eastAsia="fr-FR"/>
        </w:rPr>
      </w:pPr>
    </w:p>
    <w:p w14:paraId="268C48A1" w14:textId="77777777" w:rsidR="00F27F45" w:rsidRPr="00F27F45" w:rsidRDefault="00F27F45" w:rsidP="00F27F45">
      <w:pPr>
        <w:rPr>
          <w:rFonts w:eastAsiaTheme="minorEastAsia"/>
          <w:lang w:eastAsia="fr-FR"/>
        </w:rPr>
      </w:pPr>
    </w:p>
    <w:p w14:paraId="6ECB1C2E" w14:textId="77777777" w:rsidR="00F27F45" w:rsidRPr="00F27F45" w:rsidRDefault="00F27F45" w:rsidP="00F27F45">
      <w:pPr>
        <w:rPr>
          <w:rFonts w:eastAsiaTheme="minorEastAsia"/>
          <w:lang w:eastAsia="fr-FR"/>
        </w:rPr>
      </w:pPr>
    </w:p>
    <w:p w14:paraId="01050CCC" w14:textId="3CEE7652" w:rsidR="00017F9A" w:rsidRDefault="00017F9A" w:rsidP="00F27F45">
      <w:pPr>
        <w:rPr>
          <w:rFonts w:eastAsiaTheme="minorEastAsia"/>
          <w:lang w:eastAsia="fr-FR"/>
        </w:rPr>
      </w:pPr>
    </w:p>
    <w:p w14:paraId="233DEB9A" w14:textId="77777777" w:rsidR="00017F9A" w:rsidRDefault="00017F9A">
      <w:pPr>
        <w:spacing w:after="160" w:line="259" w:lineRule="auto"/>
        <w:rPr>
          <w:rFonts w:eastAsiaTheme="minorEastAsia"/>
          <w:lang w:eastAsia="fr-FR"/>
        </w:rPr>
      </w:pPr>
      <w:r>
        <w:rPr>
          <w:rFonts w:eastAsiaTheme="minorEastAsia"/>
          <w:lang w:eastAsia="fr-FR"/>
        </w:rPr>
        <w:br w:type="page"/>
      </w:r>
    </w:p>
    <w:p w14:paraId="30CCD404" w14:textId="77777777" w:rsidR="00F27F45" w:rsidRPr="00F27F45" w:rsidRDefault="00F27F45" w:rsidP="00F27F45">
      <w:pPr>
        <w:rPr>
          <w:rFonts w:eastAsiaTheme="minorEastAsia"/>
          <w:lang w:eastAsia="fr-FR"/>
        </w:rPr>
        <w:sectPr w:rsidR="00F27F45" w:rsidRPr="00F27F45">
          <w:footerReference w:type="default" r:id="rId32"/>
          <w:pgSz w:w="11906" w:h="16838"/>
          <w:pgMar w:top="1417" w:right="1417" w:bottom="1417" w:left="1417" w:header="708" w:footer="708" w:gutter="0"/>
          <w:cols w:space="708"/>
          <w:docGrid w:linePitch="360"/>
        </w:sectPr>
      </w:pPr>
    </w:p>
    <w:p w14:paraId="467EE5A4" w14:textId="6C17A540" w:rsidR="00FF221F" w:rsidRDefault="00FF221F" w:rsidP="00FF221F">
      <w:pPr>
        <w:spacing w:line="240" w:lineRule="auto"/>
        <w:rPr>
          <w:rFonts w:asciiTheme="majorHAnsi" w:eastAsiaTheme="minorEastAsia" w:hAnsiTheme="majorHAnsi" w:cstheme="majorHAnsi"/>
          <w:b/>
          <w:iCs/>
          <w:color w:val="44546A" w:themeColor="text2"/>
          <w:sz w:val="20"/>
          <w:szCs w:val="20"/>
        </w:rPr>
      </w:pPr>
      <w:bookmarkStart w:id="103" w:name="_Toc136004741"/>
      <w:bookmarkStart w:id="104" w:name="_Toc4687457"/>
      <w:bookmarkStart w:id="105" w:name="_Toc4748666"/>
      <w:bookmarkStart w:id="106" w:name="_Toc4757575"/>
      <w:bookmarkStart w:id="107" w:name="_Hlk4746735"/>
      <w:r w:rsidRPr="00FF221F">
        <w:rPr>
          <w:rFonts w:asciiTheme="majorHAnsi" w:eastAsiaTheme="minorEastAsia" w:hAnsiTheme="majorHAnsi" w:cstheme="majorHAnsi"/>
          <w:b/>
          <w:iCs/>
          <w:color w:val="44546A" w:themeColor="text2"/>
          <w:sz w:val="20"/>
          <w:szCs w:val="20"/>
        </w:rPr>
        <w:lastRenderedPageBreak/>
        <w:t xml:space="preserve">Tableau </w:t>
      </w:r>
      <w:r w:rsidRPr="00FF221F">
        <w:rPr>
          <w:rFonts w:asciiTheme="majorHAnsi" w:eastAsiaTheme="minorEastAsia" w:hAnsiTheme="majorHAnsi" w:cstheme="majorHAnsi"/>
          <w:b/>
          <w:iCs/>
          <w:color w:val="44546A" w:themeColor="text2"/>
          <w:sz w:val="20"/>
          <w:szCs w:val="20"/>
        </w:rPr>
        <w:fldChar w:fldCharType="begin"/>
      </w:r>
      <w:r w:rsidRPr="00FF221F">
        <w:rPr>
          <w:rFonts w:asciiTheme="majorHAnsi" w:eastAsiaTheme="minorEastAsia" w:hAnsiTheme="majorHAnsi" w:cstheme="majorHAnsi"/>
          <w:b/>
          <w:iCs/>
          <w:color w:val="44546A" w:themeColor="text2"/>
          <w:sz w:val="20"/>
          <w:szCs w:val="20"/>
        </w:rPr>
        <w:instrText xml:space="preserve"> SEQ Tableau \* ARABIC </w:instrText>
      </w:r>
      <w:r w:rsidRPr="00FF221F">
        <w:rPr>
          <w:rFonts w:asciiTheme="majorHAnsi" w:eastAsiaTheme="minorEastAsia" w:hAnsiTheme="majorHAnsi" w:cstheme="majorHAnsi"/>
          <w:b/>
          <w:iCs/>
          <w:color w:val="44546A" w:themeColor="text2"/>
          <w:sz w:val="20"/>
          <w:szCs w:val="20"/>
        </w:rPr>
        <w:fldChar w:fldCharType="separate"/>
      </w:r>
      <w:r w:rsidRPr="00FF221F">
        <w:rPr>
          <w:rFonts w:asciiTheme="majorHAnsi" w:eastAsiaTheme="minorEastAsia" w:hAnsiTheme="majorHAnsi" w:cstheme="majorHAnsi"/>
          <w:b/>
          <w:iCs/>
          <w:color w:val="44546A" w:themeColor="text2"/>
          <w:sz w:val="20"/>
          <w:szCs w:val="20"/>
        </w:rPr>
        <w:t>1</w:t>
      </w:r>
      <w:r w:rsidRPr="00FF221F">
        <w:rPr>
          <w:rFonts w:asciiTheme="majorHAnsi" w:eastAsiaTheme="minorEastAsia" w:hAnsiTheme="majorHAnsi" w:cstheme="majorHAnsi"/>
          <w:b/>
          <w:iCs/>
          <w:color w:val="44546A" w:themeColor="text2"/>
          <w:sz w:val="20"/>
          <w:szCs w:val="20"/>
        </w:rPr>
        <w:fldChar w:fldCharType="end"/>
      </w:r>
      <w:r w:rsidRPr="00FF221F">
        <w:rPr>
          <w:rFonts w:asciiTheme="majorHAnsi" w:eastAsiaTheme="minorEastAsia" w:hAnsiTheme="majorHAnsi" w:cstheme="majorHAnsi"/>
          <w:b/>
          <w:iCs/>
          <w:color w:val="44546A" w:themeColor="text2"/>
          <w:sz w:val="20"/>
          <w:szCs w:val="20"/>
        </w:rPr>
        <w:t>: Indice du Chiffre d'Affaires (volet commerce) par branches d'activités regroupées de T1 2020 à T</w:t>
      </w:r>
      <w:r w:rsidR="008F2E82">
        <w:rPr>
          <w:rFonts w:asciiTheme="majorHAnsi" w:eastAsiaTheme="minorEastAsia" w:hAnsiTheme="majorHAnsi" w:cstheme="majorHAnsi"/>
          <w:b/>
          <w:iCs/>
          <w:color w:val="44546A" w:themeColor="text2"/>
          <w:sz w:val="20"/>
          <w:szCs w:val="20"/>
        </w:rPr>
        <w:t>1</w:t>
      </w:r>
      <w:r w:rsidRPr="00FF221F">
        <w:rPr>
          <w:rFonts w:asciiTheme="majorHAnsi" w:eastAsiaTheme="minorEastAsia" w:hAnsiTheme="majorHAnsi" w:cstheme="majorHAnsi"/>
          <w:b/>
          <w:iCs/>
          <w:color w:val="44546A" w:themeColor="text2"/>
          <w:sz w:val="20"/>
          <w:szCs w:val="20"/>
        </w:rPr>
        <w:t xml:space="preserve"> 202</w:t>
      </w:r>
      <w:r w:rsidR="008F2E82">
        <w:rPr>
          <w:rFonts w:asciiTheme="majorHAnsi" w:eastAsiaTheme="minorEastAsia" w:hAnsiTheme="majorHAnsi" w:cstheme="majorHAnsi"/>
          <w:b/>
          <w:iCs/>
          <w:color w:val="44546A" w:themeColor="text2"/>
          <w:sz w:val="20"/>
          <w:szCs w:val="20"/>
        </w:rPr>
        <w:t>3</w:t>
      </w:r>
      <w:bookmarkEnd w:id="103"/>
    </w:p>
    <w:p w14:paraId="622B8A79" w14:textId="31B87048" w:rsidR="00237041" w:rsidRPr="00FF221F" w:rsidRDefault="00237041" w:rsidP="00FF221F">
      <w:pPr>
        <w:spacing w:line="240" w:lineRule="auto"/>
        <w:rPr>
          <w:rFonts w:asciiTheme="majorHAnsi" w:eastAsiaTheme="minorEastAsia" w:hAnsiTheme="majorHAnsi" w:cstheme="majorHAnsi"/>
          <w:b/>
          <w:iCs/>
          <w:color w:val="44546A" w:themeColor="text2"/>
          <w:sz w:val="20"/>
          <w:szCs w:val="20"/>
        </w:rPr>
      </w:pPr>
      <w:r w:rsidRPr="00237041">
        <w:drawing>
          <wp:inline distT="0" distB="0" distL="0" distR="0" wp14:anchorId="32ADDEDF" wp14:editId="08415452">
            <wp:extent cx="8892540" cy="4550276"/>
            <wp:effectExtent l="0" t="0" r="3810" b="317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92540" cy="4550276"/>
                    </a:xfrm>
                    <a:prstGeom prst="rect">
                      <a:avLst/>
                    </a:prstGeom>
                    <a:noFill/>
                    <a:ln>
                      <a:noFill/>
                    </a:ln>
                  </pic:spPr>
                </pic:pic>
              </a:graphicData>
            </a:graphic>
          </wp:inline>
        </w:drawing>
      </w:r>
    </w:p>
    <w:p w14:paraId="1567928E" w14:textId="4CCB7A19" w:rsidR="00055D05" w:rsidRDefault="00055D05">
      <w:pPr>
        <w:spacing w:after="160" w:line="259" w:lineRule="auto"/>
        <w:rPr>
          <w:rFonts w:asciiTheme="majorHAnsi" w:eastAsiaTheme="minorEastAsia" w:hAnsiTheme="majorHAnsi" w:cstheme="majorHAnsi"/>
          <w:b/>
          <w:iCs/>
          <w:color w:val="44546A" w:themeColor="text2"/>
          <w:sz w:val="20"/>
          <w:szCs w:val="20"/>
        </w:rPr>
      </w:pPr>
    </w:p>
    <w:p w14:paraId="08018BF2" w14:textId="77777777" w:rsidR="00055D05" w:rsidRDefault="00055D05">
      <w:pPr>
        <w:spacing w:after="160" w:line="259" w:lineRule="auto"/>
        <w:rPr>
          <w:rFonts w:asciiTheme="majorHAnsi" w:eastAsiaTheme="minorEastAsia" w:hAnsiTheme="majorHAnsi" w:cstheme="majorHAnsi"/>
          <w:b/>
          <w:iCs/>
          <w:color w:val="44546A" w:themeColor="text2"/>
          <w:sz w:val="20"/>
          <w:szCs w:val="20"/>
        </w:rPr>
      </w:pPr>
    </w:p>
    <w:p w14:paraId="7A86BD43" w14:textId="77777777" w:rsidR="00055D05" w:rsidRDefault="00055D05">
      <w:pPr>
        <w:spacing w:after="160" w:line="259" w:lineRule="auto"/>
        <w:rPr>
          <w:rFonts w:asciiTheme="majorHAnsi" w:eastAsiaTheme="minorEastAsia" w:hAnsiTheme="majorHAnsi" w:cstheme="majorHAnsi"/>
          <w:b/>
          <w:iCs/>
          <w:color w:val="44546A" w:themeColor="text2"/>
          <w:sz w:val="20"/>
          <w:szCs w:val="20"/>
        </w:rPr>
      </w:pPr>
    </w:p>
    <w:p w14:paraId="3A5B83F8" w14:textId="05469A6D" w:rsidR="00FF221F" w:rsidRDefault="00FF221F" w:rsidP="00FF221F">
      <w:pPr>
        <w:spacing w:line="240" w:lineRule="auto"/>
        <w:rPr>
          <w:rFonts w:asciiTheme="majorHAnsi" w:eastAsiaTheme="minorEastAsia" w:hAnsiTheme="majorHAnsi" w:cstheme="majorHAnsi"/>
          <w:b/>
          <w:iCs/>
          <w:color w:val="44546A" w:themeColor="text2"/>
          <w:sz w:val="20"/>
          <w:szCs w:val="20"/>
        </w:rPr>
      </w:pPr>
      <w:bookmarkStart w:id="108" w:name="_Toc136004742"/>
      <w:r w:rsidRPr="00FF221F">
        <w:rPr>
          <w:rFonts w:asciiTheme="majorHAnsi" w:eastAsiaTheme="minorEastAsia" w:hAnsiTheme="majorHAnsi" w:cstheme="majorHAnsi"/>
          <w:b/>
          <w:iCs/>
          <w:color w:val="44546A" w:themeColor="text2"/>
          <w:sz w:val="20"/>
          <w:szCs w:val="20"/>
        </w:rPr>
        <w:lastRenderedPageBreak/>
        <w:t xml:space="preserve">Tableau </w:t>
      </w:r>
      <w:r w:rsidRPr="00FF221F">
        <w:rPr>
          <w:rFonts w:asciiTheme="majorHAnsi" w:eastAsiaTheme="minorEastAsia" w:hAnsiTheme="majorHAnsi" w:cstheme="majorHAnsi"/>
          <w:b/>
          <w:iCs/>
          <w:color w:val="44546A" w:themeColor="text2"/>
          <w:sz w:val="20"/>
          <w:szCs w:val="20"/>
        </w:rPr>
        <w:fldChar w:fldCharType="begin"/>
      </w:r>
      <w:r w:rsidRPr="00FF221F">
        <w:rPr>
          <w:rFonts w:asciiTheme="majorHAnsi" w:eastAsiaTheme="minorEastAsia" w:hAnsiTheme="majorHAnsi" w:cstheme="majorHAnsi"/>
          <w:b/>
          <w:iCs/>
          <w:color w:val="44546A" w:themeColor="text2"/>
          <w:sz w:val="20"/>
          <w:szCs w:val="20"/>
        </w:rPr>
        <w:instrText xml:space="preserve"> SEQ Tableau \* ARABIC </w:instrText>
      </w:r>
      <w:r w:rsidRPr="00FF221F">
        <w:rPr>
          <w:rFonts w:asciiTheme="majorHAnsi" w:eastAsiaTheme="minorEastAsia" w:hAnsiTheme="majorHAnsi" w:cstheme="majorHAnsi"/>
          <w:b/>
          <w:iCs/>
          <w:color w:val="44546A" w:themeColor="text2"/>
          <w:sz w:val="20"/>
          <w:szCs w:val="20"/>
        </w:rPr>
        <w:fldChar w:fldCharType="separate"/>
      </w:r>
      <w:r w:rsidRPr="00FF221F">
        <w:rPr>
          <w:rFonts w:asciiTheme="majorHAnsi" w:eastAsiaTheme="minorEastAsia" w:hAnsiTheme="majorHAnsi" w:cstheme="majorHAnsi"/>
          <w:b/>
          <w:iCs/>
          <w:color w:val="44546A" w:themeColor="text2"/>
          <w:sz w:val="20"/>
          <w:szCs w:val="20"/>
        </w:rPr>
        <w:t>2</w:t>
      </w:r>
      <w:r w:rsidRPr="00FF221F">
        <w:rPr>
          <w:rFonts w:asciiTheme="majorHAnsi" w:eastAsiaTheme="minorEastAsia" w:hAnsiTheme="majorHAnsi" w:cstheme="majorHAnsi"/>
          <w:b/>
          <w:iCs/>
          <w:color w:val="44546A" w:themeColor="text2"/>
          <w:sz w:val="20"/>
          <w:szCs w:val="20"/>
        </w:rPr>
        <w:fldChar w:fldCharType="end"/>
      </w:r>
      <w:r w:rsidRPr="00FF221F">
        <w:rPr>
          <w:rFonts w:asciiTheme="majorHAnsi" w:eastAsiaTheme="minorEastAsia" w:hAnsiTheme="majorHAnsi" w:cstheme="majorHAnsi"/>
          <w:b/>
          <w:iCs/>
          <w:color w:val="44546A" w:themeColor="text2"/>
          <w:sz w:val="20"/>
          <w:szCs w:val="20"/>
        </w:rPr>
        <w:t>: Indice du Chiffre d'Affaires (volet service) par branches d'activités regroupées de T1 2020 à T</w:t>
      </w:r>
      <w:r w:rsidR="00BD33B5">
        <w:rPr>
          <w:rFonts w:asciiTheme="majorHAnsi" w:eastAsiaTheme="minorEastAsia" w:hAnsiTheme="majorHAnsi" w:cstheme="majorHAnsi"/>
          <w:b/>
          <w:iCs/>
          <w:color w:val="44546A" w:themeColor="text2"/>
          <w:sz w:val="20"/>
          <w:szCs w:val="20"/>
        </w:rPr>
        <w:t>1</w:t>
      </w:r>
      <w:r w:rsidRPr="00FF221F">
        <w:rPr>
          <w:rFonts w:asciiTheme="majorHAnsi" w:eastAsiaTheme="minorEastAsia" w:hAnsiTheme="majorHAnsi" w:cstheme="majorHAnsi"/>
          <w:b/>
          <w:iCs/>
          <w:color w:val="44546A" w:themeColor="text2"/>
          <w:sz w:val="20"/>
          <w:szCs w:val="20"/>
        </w:rPr>
        <w:t xml:space="preserve"> 202</w:t>
      </w:r>
      <w:r w:rsidR="00BD33B5">
        <w:rPr>
          <w:rFonts w:asciiTheme="majorHAnsi" w:eastAsiaTheme="minorEastAsia" w:hAnsiTheme="majorHAnsi" w:cstheme="majorHAnsi"/>
          <w:b/>
          <w:iCs/>
          <w:color w:val="44546A" w:themeColor="text2"/>
          <w:sz w:val="20"/>
          <w:szCs w:val="20"/>
        </w:rPr>
        <w:t>3</w:t>
      </w:r>
      <w:bookmarkEnd w:id="108"/>
    </w:p>
    <w:p w14:paraId="009EF1DD" w14:textId="5FE7F978" w:rsidR="00237041" w:rsidRPr="00FF221F" w:rsidRDefault="00237041" w:rsidP="00FF221F">
      <w:pPr>
        <w:spacing w:line="240" w:lineRule="auto"/>
        <w:rPr>
          <w:rFonts w:asciiTheme="majorHAnsi" w:eastAsiaTheme="minorEastAsia" w:hAnsiTheme="majorHAnsi" w:cstheme="majorHAnsi"/>
          <w:b/>
          <w:iCs/>
          <w:color w:val="44546A" w:themeColor="text2"/>
          <w:sz w:val="20"/>
          <w:szCs w:val="20"/>
        </w:rPr>
      </w:pPr>
      <w:r w:rsidRPr="00237041">
        <w:drawing>
          <wp:inline distT="0" distB="0" distL="0" distR="0" wp14:anchorId="20C06863" wp14:editId="25715BB2">
            <wp:extent cx="8892540" cy="5168507"/>
            <wp:effectExtent l="0" t="0" r="381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92540" cy="5168507"/>
                    </a:xfrm>
                    <a:prstGeom prst="rect">
                      <a:avLst/>
                    </a:prstGeom>
                    <a:noFill/>
                    <a:ln>
                      <a:noFill/>
                    </a:ln>
                  </pic:spPr>
                </pic:pic>
              </a:graphicData>
            </a:graphic>
          </wp:inline>
        </w:drawing>
      </w:r>
    </w:p>
    <w:p w14:paraId="712976EC" w14:textId="77777777" w:rsidR="00237041" w:rsidRDefault="00237041">
      <w:pPr>
        <w:spacing w:after="160" w:line="259" w:lineRule="auto"/>
        <w:rPr>
          <w:rFonts w:asciiTheme="majorHAnsi" w:eastAsiaTheme="minorEastAsia" w:hAnsiTheme="majorHAnsi" w:cstheme="majorHAnsi"/>
          <w:b/>
          <w:iCs/>
          <w:color w:val="44546A" w:themeColor="text2"/>
          <w:sz w:val="20"/>
          <w:szCs w:val="20"/>
        </w:rPr>
      </w:pPr>
    </w:p>
    <w:p w14:paraId="016F734B" w14:textId="57B48A27" w:rsidR="00D501E6" w:rsidRPr="00D501E6" w:rsidRDefault="00D501E6" w:rsidP="00D501E6">
      <w:pPr>
        <w:rPr>
          <w:rFonts w:eastAsiaTheme="minorEastAsia"/>
          <w:b/>
          <w:lang w:eastAsia="fr-FR"/>
        </w:rPr>
        <w:sectPr w:rsidR="00D501E6" w:rsidRPr="00D501E6" w:rsidSect="0085226B">
          <w:footerReference w:type="default" r:id="rId35"/>
          <w:pgSz w:w="16838" w:h="11906" w:orient="landscape"/>
          <w:pgMar w:top="1417" w:right="1417" w:bottom="1417" w:left="1417" w:header="708" w:footer="708" w:gutter="0"/>
          <w:cols w:space="708"/>
          <w:docGrid w:linePitch="360"/>
        </w:sectPr>
      </w:pPr>
      <w:bookmarkStart w:id="109" w:name="_GoBack"/>
      <w:bookmarkEnd w:id="104"/>
      <w:bookmarkEnd w:id="105"/>
      <w:bookmarkEnd w:id="106"/>
      <w:bookmarkEnd w:id="107"/>
      <w:bookmarkEnd w:id="109"/>
    </w:p>
    <w:p w14:paraId="736D118E" w14:textId="3B10E7F0" w:rsidR="001D2A33" w:rsidRPr="00513556" w:rsidRDefault="001D2A33" w:rsidP="0085226B">
      <w:pPr>
        <w:pStyle w:val="Titre1"/>
        <w:spacing w:line="480" w:lineRule="auto"/>
      </w:pPr>
    </w:p>
    <w:sectPr w:rsidR="001D2A33" w:rsidRPr="00513556" w:rsidSect="00F27F45">
      <w:footerReference w:type="default" r:id="rId3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A201E3" w14:textId="77777777" w:rsidR="009266A0" w:rsidRDefault="009266A0" w:rsidP="00475678">
      <w:pPr>
        <w:spacing w:after="0" w:line="240" w:lineRule="auto"/>
      </w:pPr>
      <w:r>
        <w:separator/>
      </w:r>
    </w:p>
  </w:endnote>
  <w:endnote w:type="continuationSeparator" w:id="0">
    <w:p w14:paraId="1B5C6405" w14:textId="77777777" w:rsidR="009266A0" w:rsidRDefault="009266A0" w:rsidP="004756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19912710"/>
      <w:docPartObj>
        <w:docPartGallery w:val="Page Numbers (Bottom of Page)"/>
        <w:docPartUnique/>
      </w:docPartObj>
    </w:sdtPr>
    <w:sdtEndPr>
      <w:rPr>
        <w:noProof/>
      </w:rPr>
    </w:sdtEndPr>
    <w:sdtContent>
      <w:p w14:paraId="2E452F88" w14:textId="450BE88F" w:rsidR="00B0409D" w:rsidRDefault="00B0409D">
        <w:pPr>
          <w:pStyle w:val="Pieddepage"/>
          <w:jc w:val="right"/>
        </w:pPr>
        <w:r>
          <w:fldChar w:fldCharType="begin"/>
        </w:r>
        <w:r>
          <w:instrText xml:space="preserve"> PAGE   \* MERGEFORMAT </w:instrText>
        </w:r>
        <w:r>
          <w:fldChar w:fldCharType="separate"/>
        </w:r>
        <w:r w:rsidR="0066284F">
          <w:rPr>
            <w:noProof/>
          </w:rPr>
          <w:t>22</w:t>
        </w:r>
        <w:r>
          <w:rPr>
            <w:noProof/>
          </w:rPr>
          <w:fldChar w:fldCharType="end"/>
        </w:r>
      </w:p>
    </w:sdtContent>
  </w:sdt>
  <w:p w14:paraId="2F3D4029" w14:textId="77777777" w:rsidR="00B0409D" w:rsidRDefault="00B0409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0211974"/>
      <w:docPartObj>
        <w:docPartGallery w:val="Page Numbers (Bottom of Page)"/>
        <w:docPartUnique/>
      </w:docPartObj>
    </w:sdtPr>
    <w:sdtEndPr>
      <w:rPr>
        <w:noProof/>
      </w:rPr>
    </w:sdtEndPr>
    <w:sdtContent>
      <w:p w14:paraId="71907973" w14:textId="0025FA7A" w:rsidR="00B0409D" w:rsidRDefault="00B0409D">
        <w:pPr>
          <w:pStyle w:val="Pieddepage"/>
          <w:jc w:val="right"/>
        </w:pPr>
        <w:r>
          <w:fldChar w:fldCharType="begin"/>
        </w:r>
        <w:r>
          <w:instrText xml:space="preserve"> PAGE   \* MERGEFORMAT </w:instrText>
        </w:r>
        <w:r>
          <w:fldChar w:fldCharType="separate"/>
        </w:r>
        <w:r w:rsidR="0066284F">
          <w:rPr>
            <w:noProof/>
          </w:rPr>
          <w:t>24</w:t>
        </w:r>
        <w:r>
          <w:rPr>
            <w:noProof/>
          </w:rPr>
          <w:fldChar w:fldCharType="end"/>
        </w:r>
      </w:p>
    </w:sdtContent>
  </w:sdt>
  <w:p w14:paraId="4E90285D" w14:textId="77777777" w:rsidR="00B0409D" w:rsidRDefault="00B0409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0230554"/>
      <w:docPartObj>
        <w:docPartGallery w:val="Page Numbers (Bottom of Page)"/>
        <w:docPartUnique/>
      </w:docPartObj>
    </w:sdtPr>
    <w:sdtEndPr>
      <w:rPr>
        <w:noProof/>
      </w:rPr>
    </w:sdtEndPr>
    <w:sdtContent>
      <w:p w14:paraId="373B2070" w14:textId="7829447F" w:rsidR="00B0409D" w:rsidRDefault="00B0409D">
        <w:pPr>
          <w:pStyle w:val="Pieddepage"/>
          <w:jc w:val="right"/>
        </w:pPr>
        <w:r>
          <w:fldChar w:fldCharType="begin"/>
        </w:r>
        <w:r>
          <w:instrText xml:space="preserve"> PAGE   \* MERGEFORMAT </w:instrText>
        </w:r>
        <w:r>
          <w:fldChar w:fldCharType="separate"/>
        </w:r>
        <w:r w:rsidR="00237041">
          <w:rPr>
            <w:noProof/>
          </w:rPr>
          <w:t>25</w:t>
        </w:r>
        <w:r>
          <w:rPr>
            <w:noProof/>
          </w:rPr>
          <w:fldChar w:fldCharType="end"/>
        </w:r>
      </w:p>
    </w:sdtContent>
  </w:sdt>
  <w:p w14:paraId="72582D52" w14:textId="77777777" w:rsidR="00B0409D" w:rsidRDefault="00B0409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34BB36" w14:textId="77777777" w:rsidR="009266A0" w:rsidRDefault="009266A0" w:rsidP="00475678">
      <w:pPr>
        <w:spacing w:after="0" w:line="240" w:lineRule="auto"/>
      </w:pPr>
      <w:r>
        <w:separator/>
      </w:r>
    </w:p>
  </w:footnote>
  <w:footnote w:type="continuationSeparator" w:id="0">
    <w:p w14:paraId="31657E1D" w14:textId="77777777" w:rsidR="009266A0" w:rsidRDefault="009266A0" w:rsidP="004756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64E6A1E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8A74"/>
      </v:shape>
    </w:pict>
  </w:numPicBullet>
  <w:abstractNum w:abstractNumId="0" w15:restartNumberingAfterBreak="0">
    <w:nsid w:val="01387502"/>
    <w:multiLevelType w:val="hybridMultilevel"/>
    <w:tmpl w:val="3C388A4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D2B581F"/>
    <w:multiLevelType w:val="multilevel"/>
    <w:tmpl w:val="98CC41C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D413B3C"/>
    <w:multiLevelType w:val="hybridMultilevel"/>
    <w:tmpl w:val="41D4EA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EA80500"/>
    <w:multiLevelType w:val="hybridMultilevel"/>
    <w:tmpl w:val="1B5852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24C1D04"/>
    <w:multiLevelType w:val="hybridMultilevel"/>
    <w:tmpl w:val="38A6B82E"/>
    <w:lvl w:ilvl="0" w:tplc="C7C4553C">
      <w:start w:val="1"/>
      <w:numFmt w:val="decimal"/>
      <w:lvlText w:val="%1."/>
      <w:lvlJc w:val="left"/>
      <w:pPr>
        <w:ind w:left="720" w:hanging="360"/>
      </w:pPr>
      <w:rPr>
        <w:rFonts w:hint="default"/>
        <w:b w:val="0"/>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3530823"/>
    <w:multiLevelType w:val="multilevel"/>
    <w:tmpl w:val="FA1003F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3BA0098"/>
    <w:multiLevelType w:val="hybridMultilevel"/>
    <w:tmpl w:val="4B349ED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429156B"/>
    <w:multiLevelType w:val="hybridMultilevel"/>
    <w:tmpl w:val="5DA26F2E"/>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8" w15:restartNumberingAfterBreak="0">
    <w:nsid w:val="1A78217C"/>
    <w:multiLevelType w:val="hybridMultilevel"/>
    <w:tmpl w:val="76E4778C"/>
    <w:lvl w:ilvl="0" w:tplc="040C0007">
      <w:start w:val="1"/>
      <w:numFmt w:val="bullet"/>
      <w:lvlText w:val=""/>
      <w:lvlPicBulletId w:val="0"/>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15:restartNumberingAfterBreak="0">
    <w:nsid w:val="225663FE"/>
    <w:multiLevelType w:val="hybridMultilevel"/>
    <w:tmpl w:val="6BA27E96"/>
    <w:lvl w:ilvl="0" w:tplc="040C0007">
      <w:start w:val="1"/>
      <w:numFmt w:val="bullet"/>
      <w:lvlText w:val=""/>
      <w:lvlPicBulletId w:val="0"/>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22F128E5"/>
    <w:multiLevelType w:val="hybridMultilevel"/>
    <w:tmpl w:val="47421CBE"/>
    <w:lvl w:ilvl="0" w:tplc="1B9EC25C">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0B8315F"/>
    <w:multiLevelType w:val="hybridMultilevel"/>
    <w:tmpl w:val="6FE8A3E6"/>
    <w:lvl w:ilvl="0" w:tplc="FADAFE7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CFA06EF"/>
    <w:multiLevelType w:val="hybridMultilevel"/>
    <w:tmpl w:val="38022B3E"/>
    <w:lvl w:ilvl="0" w:tplc="0E24E546">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458E0B06"/>
    <w:multiLevelType w:val="hybridMultilevel"/>
    <w:tmpl w:val="904C5F38"/>
    <w:lvl w:ilvl="0" w:tplc="FD4A8360">
      <w:start w:val="1"/>
      <w:numFmt w:val="decimal"/>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14" w15:restartNumberingAfterBreak="0">
    <w:nsid w:val="52FA005C"/>
    <w:multiLevelType w:val="hybridMultilevel"/>
    <w:tmpl w:val="3F68E6E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723F2550"/>
    <w:multiLevelType w:val="hybridMultilevel"/>
    <w:tmpl w:val="5686E5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72847B6A"/>
    <w:multiLevelType w:val="hybridMultilevel"/>
    <w:tmpl w:val="DCF4FD48"/>
    <w:lvl w:ilvl="0" w:tplc="040C0007">
      <w:start w:val="1"/>
      <w:numFmt w:val="bullet"/>
      <w:lvlText w:val=""/>
      <w:lvlPicBulletId w:val="0"/>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15:restartNumberingAfterBreak="0">
    <w:nsid w:val="774A36B3"/>
    <w:multiLevelType w:val="hybridMultilevel"/>
    <w:tmpl w:val="D24C2934"/>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8" w15:restartNumberingAfterBreak="0">
    <w:nsid w:val="77787999"/>
    <w:multiLevelType w:val="hybridMultilevel"/>
    <w:tmpl w:val="8D487A56"/>
    <w:lvl w:ilvl="0" w:tplc="040C0007">
      <w:start w:val="1"/>
      <w:numFmt w:val="bullet"/>
      <w:lvlText w:val=""/>
      <w:lvlPicBulletId w:val="0"/>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9" w15:restartNumberingAfterBreak="0">
    <w:nsid w:val="7C8C6AE3"/>
    <w:multiLevelType w:val="hybridMultilevel"/>
    <w:tmpl w:val="8CD0B3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7D47685D"/>
    <w:multiLevelType w:val="hybridMultilevel"/>
    <w:tmpl w:val="B70A9A3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0"/>
  </w:num>
  <w:num w:numId="2">
    <w:abstractNumId w:val="16"/>
  </w:num>
  <w:num w:numId="3">
    <w:abstractNumId w:val="9"/>
  </w:num>
  <w:num w:numId="4">
    <w:abstractNumId w:val="7"/>
  </w:num>
  <w:num w:numId="5">
    <w:abstractNumId w:val="17"/>
  </w:num>
  <w:num w:numId="6">
    <w:abstractNumId w:val="8"/>
  </w:num>
  <w:num w:numId="7">
    <w:abstractNumId w:val="18"/>
  </w:num>
  <w:num w:numId="8">
    <w:abstractNumId w:val="1"/>
  </w:num>
  <w:num w:numId="9">
    <w:abstractNumId w:val="11"/>
  </w:num>
  <w:num w:numId="10">
    <w:abstractNumId w:val="0"/>
  </w:num>
  <w:num w:numId="11">
    <w:abstractNumId w:val="14"/>
  </w:num>
  <w:num w:numId="12">
    <w:abstractNumId w:val="5"/>
  </w:num>
  <w:num w:numId="13">
    <w:abstractNumId w:val="20"/>
  </w:num>
  <w:num w:numId="14">
    <w:abstractNumId w:val="15"/>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3"/>
  </w:num>
  <w:num w:numId="18">
    <w:abstractNumId w:val="19"/>
  </w:num>
  <w:num w:numId="19">
    <w:abstractNumId w:val="2"/>
  </w:num>
  <w:num w:numId="20">
    <w:abstractNumId w:val="6"/>
  </w:num>
  <w:num w:numId="21">
    <w:abstractNumId w:val="13"/>
  </w:num>
  <w:num w:numId="22">
    <w:abstractNumId w:val="12"/>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05C8"/>
    <w:rsid w:val="0000016E"/>
    <w:rsid w:val="00001254"/>
    <w:rsid w:val="0000194C"/>
    <w:rsid w:val="000021CF"/>
    <w:rsid w:val="000039C7"/>
    <w:rsid w:val="000054B3"/>
    <w:rsid w:val="00005AFD"/>
    <w:rsid w:val="000060E2"/>
    <w:rsid w:val="00006948"/>
    <w:rsid w:val="00010CD5"/>
    <w:rsid w:val="000121C1"/>
    <w:rsid w:val="000124E3"/>
    <w:rsid w:val="000132FD"/>
    <w:rsid w:val="000138D2"/>
    <w:rsid w:val="00014FA2"/>
    <w:rsid w:val="000169D3"/>
    <w:rsid w:val="00017270"/>
    <w:rsid w:val="000173B5"/>
    <w:rsid w:val="00017F9A"/>
    <w:rsid w:val="00021644"/>
    <w:rsid w:val="00022147"/>
    <w:rsid w:val="000274DC"/>
    <w:rsid w:val="000279C7"/>
    <w:rsid w:val="00031510"/>
    <w:rsid w:val="0003191E"/>
    <w:rsid w:val="00031F83"/>
    <w:rsid w:val="0003294C"/>
    <w:rsid w:val="0003598D"/>
    <w:rsid w:val="000363CD"/>
    <w:rsid w:val="00036527"/>
    <w:rsid w:val="00036678"/>
    <w:rsid w:val="0003722A"/>
    <w:rsid w:val="00040C69"/>
    <w:rsid w:val="00042C69"/>
    <w:rsid w:val="000435CD"/>
    <w:rsid w:val="000449E8"/>
    <w:rsid w:val="0005024A"/>
    <w:rsid w:val="00052CD5"/>
    <w:rsid w:val="000546A1"/>
    <w:rsid w:val="00055D05"/>
    <w:rsid w:val="000573A5"/>
    <w:rsid w:val="00060C72"/>
    <w:rsid w:val="00060D88"/>
    <w:rsid w:val="00061031"/>
    <w:rsid w:val="0006167C"/>
    <w:rsid w:val="00061B8A"/>
    <w:rsid w:val="000620DE"/>
    <w:rsid w:val="0006274F"/>
    <w:rsid w:val="00062DBA"/>
    <w:rsid w:val="00064239"/>
    <w:rsid w:val="000674DA"/>
    <w:rsid w:val="00070C61"/>
    <w:rsid w:val="00070FCA"/>
    <w:rsid w:val="00073C01"/>
    <w:rsid w:val="000753B9"/>
    <w:rsid w:val="00076E4E"/>
    <w:rsid w:val="0008037D"/>
    <w:rsid w:val="000803E8"/>
    <w:rsid w:val="00080F8C"/>
    <w:rsid w:val="000821EA"/>
    <w:rsid w:val="00082B47"/>
    <w:rsid w:val="00090497"/>
    <w:rsid w:val="00090E2B"/>
    <w:rsid w:val="000916A2"/>
    <w:rsid w:val="00092FF2"/>
    <w:rsid w:val="000937C7"/>
    <w:rsid w:val="00094A44"/>
    <w:rsid w:val="00094B88"/>
    <w:rsid w:val="00094CD2"/>
    <w:rsid w:val="00096172"/>
    <w:rsid w:val="00096C7F"/>
    <w:rsid w:val="00097B29"/>
    <w:rsid w:val="000A127A"/>
    <w:rsid w:val="000A37D1"/>
    <w:rsid w:val="000A44FE"/>
    <w:rsid w:val="000A7247"/>
    <w:rsid w:val="000B12EA"/>
    <w:rsid w:val="000B141D"/>
    <w:rsid w:val="000B3657"/>
    <w:rsid w:val="000B3D3F"/>
    <w:rsid w:val="000B4A8B"/>
    <w:rsid w:val="000B54E7"/>
    <w:rsid w:val="000B5628"/>
    <w:rsid w:val="000B6359"/>
    <w:rsid w:val="000B70AF"/>
    <w:rsid w:val="000C00E4"/>
    <w:rsid w:val="000C01C4"/>
    <w:rsid w:val="000C0264"/>
    <w:rsid w:val="000C130E"/>
    <w:rsid w:val="000C131D"/>
    <w:rsid w:val="000C19CF"/>
    <w:rsid w:val="000C5F35"/>
    <w:rsid w:val="000C6540"/>
    <w:rsid w:val="000C6E39"/>
    <w:rsid w:val="000C6E57"/>
    <w:rsid w:val="000D0DED"/>
    <w:rsid w:val="000D11C7"/>
    <w:rsid w:val="000D2E73"/>
    <w:rsid w:val="000D3191"/>
    <w:rsid w:val="000D3544"/>
    <w:rsid w:val="000D6595"/>
    <w:rsid w:val="000D7779"/>
    <w:rsid w:val="000E1125"/>
    <w:rsid w:val="000E14C2"/>
    <w:rsid w:val="000E224D"/>
    <w:rsid w:val="000E271C"/>
    <w:rsid w:val="000E5C88"/>
    <w:rsid w:val="000E7C0B"/>
    <w:rsid w:val="000F173B"/>
    <w:rsid w:val="000F2B34"/>
    <w:rsid w:val="000F2DC5"/>
    <w:rsid w:val="000F4D65"/>
    <w:rsid w:val="000F5F7D"/>
    <w:rsid w:val="000F6468"/>
    <w:rsid w:val="00100EC9"/>
    <w:rsid w:val="00103736"/>
    <w:rsid w:val="001058E4"/>
    <w:rsid w:val="00105E05"/>
    <w:rsid w:val="001061EA"/>
    <w:rsid w:val="001103BE"/>
    <w:rsid w:val="00110C95"/>
    <w:rsid w:val="001117F3"/>
    <w:rsid w:val="00111F02"/>
    <w:rsid w:val="00112142"/>
    <w:rsid w:val="00112512"/>
    <w:rsid w:val="00112F35"/>
    <w:rsid w:val="00113859"/>
    <w:rsid w:val="00116C96"/>
    <w:rsid w:val="001176AF"/>
    <w:rsid w:val="00117833"/>
    <w:rsid w:val="001179F9"/>
    <w:rsid w:val="00123AE0"/>
    <w:rsid w:val="00123D9E"/>
    <w:rsid w:val="00123F9F"/>
    <w:rsid w:val="0012430E"/>
    <w:rsid w:val="00124C91"/>
    <w:rsid w:val="00124D1A"/>
    <w:rsid w:val="001274B9"/>
    <w:rsid w:val="001309ED"/>
    <w:rsid w:val="0013257E"/>
    <w:rsid w:val="001329D9"/>
    <w:rsid w:val="00132B72"/>
    <w:rsid w:val="001343EB"/>
    <w:rsid w:val="0013588E"/>
    <w:rsid w:val="00136010"/>
    <w:rsid w:val="00136D66"/>
    <w:rsid w:val="00140FE5"/>
    <w:rsid w:val="0014221B"/>
    <w:rsid w:val="0014354F"/>
    <w:rsid w:val="00144737"/>
    <w:rsid w:val="00144DE7"/>
    <w:rsid w:val="00144E4B"/>
    <w:rsid w:val="00145F51"/>
    <w:rsid w:val="001473BE"/>
    <w:rsid w:val="00147AA1"/>
    <w:rsid w:val="00151E60"/>
    <w:rsid w:val="00152797"/>
    <w:rsid w:val="00152CF5"/>
    <w:rsid w:val="001530FD"/>
    <w:rsid w:val="00155FE7"/>
    <w:rsid w:val="00160919"/>
    <w:rsid w:val="00160CEB"/>
    <w:rsid w:val="0016110A"/>
    <w:rsid w:val="00163D8D"/>
    <w:rsid w:val="001660E4"/>
    <w:rsid w:val="0016779E"/>
    <w:rsid w:val="0017023C"/>
    <w:rsid w:val="00171A3E"/>
    <w:rsid w:val="00171BBD"/>
    <w:rsid w:val="00171D39"/>
    <w:rsid w:val="0017277A"/>
    <w:rsid w:val="0017352C"/>
    <w:rsid w:val="00174621"/>
    <w:rsid w:val="001759E8"/>
    <w:rsid w:val="00175A2B"/>
    <w:rsid w:val="00176D4D"/>
    <w:rsid w:val="00180B7D"/>
    <w:rsid w:val="00181AA7"/>
    <w:rsid w:val="00182CD6"/>
    <w:rsid w:val="001832E0"/>
    <w:rsid w:val="0018454A"/>
    <w:rsid w:val="00184758"/>
    <w:rsid w:val="00184EB6"/>
    <w:rsid w:val="00190523"/>
    <w:rsid w:val="00190C07"/>
    <w:rsid w:val="00190CA9"/>
    <w:rsid w:val="0019100F"/>
    <w:rsid w:val="00194314"/>
    <w:rsid w:val="0019431D"/>
    <w:rsid w:val="00194459"/>
    <w:rsid w:val="00194AA4"/>
    <w:rsid w:val="0019531E"/>
    <w:rsid w:val="001956C0"/>
    <w:rsid w:val="001A08BD"/>
    <w:rsid w:val="001A202C"/>
    <w:rsid w:val="001A29E0"/>
    <w:rsid w:val="001A3650"/>
    <w:rsid w:val="001A5756"/>
    <w:rsid w:val="001A7B7D"/>
    <w:rsid w:val="001B023D"/>
    <w:rsid w:val="001B0261"/>
    <w:rsid w:val="001B0D97"/>
    <w:rsid w:val="001B342B"/>
    <w:rsid w:val="001B6227"/>
    <w:rsid w:val="001B69BB"/>
    <w:rsid w:val="001C0E85"/>
    <w:rsid w:val="001C3B19"/>
    <w:rsid w:val="001C4A78"/>
    <w:rsid w:val="001C4A84"/>
    <w:rsid w:val="001C5F89"/>
    <w:rsid w:val="001C67EC"/>
    <w:rsid w:val="001C6AD8"/>
    <w:rsid w:val="001C6DB2"/>
    <w:rsid w:val="001D02EF"/>
    <w:rsid w:val="001D064F"/>
    <w:rsid w:val="001D0C87"/>
    <w:rsid w:val="001D0E8C"/>
    <w:rsid w:val="001D1459"/>
    <w:rsid w:val="001D16AC"/>
    <w:rsid w:val="001D1FAF"/>
    <w:rsid w:val="001D22C6"/>
    <w:rsid w:val="001D2A33"/>
    <w:rsid w:val="001D38D0"/>
    <w:rsid w:val="001D4257"/>
    <w:rsid w:val="001D485A"/>
    <w:rsid w:val="001D48A4"/>
    <w:rsid w:val="001E35FD"/>
    <w:rsid w:val="001E3955"/>
    <w:rsid w:val="001E6E39"/>
    <w:rsid w:val="001F035B"/>
    <w:rsid w:val="001F0689"/>
    <w:rsid w:val="001F1190"/>
    <w:rsid w:val="001F1761"/>
    <w:rsid w:val="001F4687"/>
    <w:rsid w:val="001F4B8D"/>
    <w:rsid w:val="001F5105"/>
    <w:rsid w:val="001F593F"/>
    <w:rsid w:val="001F5ED2"/>
    <w:rsid w:val="001F7188"/>
    <w:rsid w:val="00200A20"/>
    <w:rsid w:val="00200E0A"/>
    <w:rsid w:val="00202943"/>
    <w:rsid w:val="00204055"/>
    <w:rsid w:val="00205354"/>
    <w:rsid w:val="002057FD"/>
    <w:rsid w:val="0020611F"/>
    <w:rsid w:val="00210410"/>
    <w:rsid w:val="002121E8"/>
    <w:rsid w:val="002140E4"/>
    <w:rsid w:val="00216B56"/>
    <w:rsid w:val="00216DD0"/>
    <w:rsid w:val="0022023E"/>
    <w:rsid w:val="0022392E"/>
    <w:rsid w:val="00223B39"/>
    <w:rsid w:val="00225B7C"/>
    <w:rsid w:val="002274D4"/>
    <w:rsid w:val="00230949"/>
    <w:rsid w:val="00232CCB"/>
    <w:rsid w:val="00233870"/>
    <w:rsid w:val="00233E2A"/>
    <w:rsid w:val="0023440C"/>
    <w:rsid w:val="00235142"/>
    <w:rsid w:val="002362D8"/>
    <w:rsid w:val="00237041"/>
    <w:rsid w:val="002401C7"/>
    <w:rsid w:val="0024040E"/>
    <w:rsid w:val="00240609"/>
    <w:rsid w:val="0024105D"/>
    <w:rsid w:val="00245F4B"/>
    <w:rsid w:val="00250302"/>
    <w:rsid w:val="00250E84"/>
    <w:rsid w:val="002515D1"/>
    <w:rsid w:val="002515DF"/>
    <w:rsid w:val="00255956"/>
    <w:rsid w:val="0025698B"/>
    <w:rsid w:val="00257D0B"/>
    <w:rsid w:val="00261E10"/>
    <w:rsid w:val="00265BA2"/>
    <w:rsid w:val="00266D10"/>
    <w:rsid w:val="002732CF"/>
    <w:rsid w:val="00273646"/>
    <w:rsid w:val="00277205"/>
    <w:rsid w:val="00277B85"/>
    <w:rsid w:val="00280E31"/>
    <w:rsid w:val="00281C02"/>
    <w:rsid w:val="002833B1"/>
    <w:rsid w:val="002835E1"/>
    <w:rsid w:val="002869DB"/>
    <w:rsid w:val="00286F25"/>
    <w:rsid w:val="00287E23"/>
    <w:rsid w:val="0029034D"/>
    <w:rsid w:val="00291E02"/>
    <w:rsid w:val="00292F72"/>
    <w:rsid w:val="00296D1D"/>
    <w:rsid w:val="00297AB9"/>
    <w:rsid w:val="002A05AC"/>
    <w:rsid w:val="002A05D1"/>
    <w:rsid w:val="002A06A8"/>
    <w:rsid w:val="002A1E12"/>
    <w:rsid w:val="002A2DE9"/>
    <w:rsid w:val="002A3677"/>
    <w:rsid w:val="002A6E1E"/>
    <w:rsid w:val="002B4CC7"/>
    <w:rsid w:val="002B6983"/>
    <w:rsid w:val="002B77C9"/>
    <w:rsid w:val="002B7C58"/>
    <w:rsid w:val="002C176B"/>
    <w:rsid w:val="002C2488"/>
    <w:rsid w:val="002C4C2D"/>
    <w:rsid w:val="002C59DB"/>
    <w:rsid w:val="002C5BF1"/>
    <w:rsid w:val="002C67FC"/>
    <w:rsid w:val="002C6F87"/>
    <w:rsid w:val="002C72FD"/>
    <w:rsid w:val="002D0F68"/>
    <w:rsid w:val="002D261D"/>
    <w:rsid w:val="002D2A31"/>
    <w:rsid w:val="002D2B12"/>
    <w:rsid w:val="002D422F"/>
    <w:rsid w:val="002E1920"/>
    <w:rsid w:val="002E1B9F"/>
    <w:rsid w:val="002E3CF8"/>
    <w:rsid w:val="002E58B9"/>
    <w:rsid w:val="002E59C1"/>
    <w:rsid w:val="002E6851"/>
    <w:rsid w:val="002F0C05"/>
    <w:rsid w:val="002F1807"/>
    <w:rsid w:val="002F1EAA"/>
    <w:rsid w:val="002F564E"/>
    <w:rsid w:val="002F6071"/>
    <w:rsid w:val="002F6A49"/>
    <w:rsid w:val="002F707D"/>
    <w:rsid w:val="002F7D5D"/>
    <w:rsid w:val="002F7FB6"/>
    <w:rsid w:val="00302643"/>
    <w:rsid w:val="003050F7"/>
    <w:rsid w:val="00306CCF"/>
    <w:rsid w:val="0031110C"/>
    <w:rsid w:val="003116BB"/>
    <w:rsid w:val="0031209D"/>
    <w:rsid w:val="003122CF"/>
    <w:rsid w:val="0031233B"/>
    <w:rsid w:val="00313107"/>
    <w:rsid w:val="00314FED"/>
    <w:rsid w:val="00315292"/>
    <w:rsid w:val="003168E5"/>
    <w:rsid w:val="003170EC"/>
    <w:rsid w:val="00320A1C"/>
    <w:rsid w:val="003216D8"/>
    <w:rsid w:val="00323C7F"/>
    <w:rsid w:val="00324B16"/>
    <w:rsid w:val="00324BC1"/>
    <w:rsid w:val="00324F6F"/>
    <w:rsid w:val="00325225"/>
    <w:rsid w:val="00326403"/>
    <w:rsid w:val="00326CC9"/>
    <w:rsid w:val="0032707D"/>
    <w:rsid w:val="00327881"/>
    <w:rsid w:val="003301C4"/>
    <w:rsid w:val="00331780"/>
    <w:rsid w:val="00332397"/>
    <w:rsid w:val="00332936"/>
    <w:rsid w:val="0033305A"/>
    <w:rsid w:val="00335124"/>
    <w:rsid w:val="00336EA5"/>
    <w:rsid w:val="00340164"/>
    <w:rsid w:val="003420A4"/>
    <w:rsid w:val="003443A5"/>
    <w:rsid w:val="00344CC0"/>
    <w:rsid w:val="0034763E"/>
    <w:rsid w:val="0035009B"/>
    <w:rsid w:val="00350D55"/>
    <w:rsid w:val="00352171"/>
    <w:rsid w:val="00354DC1"/>
    <w:rsid w:val="003550E6"/>
    <w:rsid w:val="003567C1"/>
    <w:rsid w:val="00357340"/>
    <w:rsid w:val="00357E85"/>
    <w:rsid w:val="00366132"/>
    <w:rsid w:val="00366EC8"/>
    <w:rsid w:val="00367D9F"/>
    <w:rsid w:val="00370483"/>
    <w:rsid w:val="00370F32"/>
    <w:rsid w:val="003713C5"/>
    <w:rsid w:val="00373181"/>
    <w:rsid w:val="00373A73"/>
    <w:rsid w:val="00374838"/>
    <w:rsid w:val="00375D4C"/>
    <w:rsid w:val="003776FC"/>
    <w:rsid w:val="00377DA7"/>
    <w:rsid w:val="003865EE"/>
    <w:rsid w:val="003908A5"/>
    <w:rsid w:val="00391ED3"/>
    <w:rsid w:val="003922D6"/>
    <w:rsid w:val="00392766"/>
    <w:rsid w:val="003930F3"/>
    <w:rsid w:val="0039365F"/>
    <w:rsid w:val="00397913"/>
    <w:rsid w:val="003A0CC1"/>
    <w:rsid w:val="003A1DDD"/>
    <w:rsid w:val="003A63F6"/>
    <w:rsid w:val="003A7D41"/>
    <w:rsid w:val="003B003D"/>
    <w:rsid w:val="003B1E0C"/>
    <w:rsid w:val="003B34C3"/>
    <w:rsid w:val="003B6ECB"/>
    <w:rsid w:val="003B76E5"/>
    <w:rsid w:val="003C040A"/>
    <w:rsid w:val="003C1643"/>
    <w:rsid w:val="003C2819"/>
    <w:rsid w:val="003C2AAC"/>
    <w:rsid w:val="003C3E9D"/>
    <w:rsid w:val="003C6AA5"/>
    <w:rsid w:val="003D2B0B"/>
    <w:rsid w:val="003D33E9"/>
    <w:rsid w:val="003D51E0"/>
    <w:rsid w:val="003D5E5C"/>
    <w:rsid w:val="003D6604"/>
    <w:rsid w:val="003D664E"/>
    <w:rsid w:val="003D7590"/>
    <w:rsid w:val="003E3104"/>
    <w:rsid w:val="003E4346"/>
    <w:rsid w:val="003E45C2"/>
    <w:rsid w:val="003E4B40"/>
    <w:rsid w:val="003F0F1F"/>
    <w:rsid w:val="003F2FAF"/>
    <w:rsid w:val="003F6B9C"/>
    <w:rsid w:val="003F7FA0"/>
    <w:rsid w:val="004019D6"/>
    <w:rsid w:val="00402026"/>
    <w:rsid w:val="004055E5"/>
    <w:rsid w:val="00405D51"/>
    <w:rsid w:val="00411714"/>
    <w:rsid w:val="00415890"/>
    <w:rsid w:val="004178E0"/>
    <w:rsid w:val="00417F92"/>
    <w:rsid w:val="00423424"/>
    <w:rsid w:val="004239B9"/>
    <w:rsid w:val="00423C4A"/>
    <w:rsid w:val="004252D0"/>
    <w:rsid w:val="00425324"/>
    <w:rsid w:val="0042563B"/>
    <w:rsid w:val="00427C93"/>
    <w:rsid w:val="00430519"/>
    <w:rsid w:val="004308C8"/>
    <w:rsid w:val="004357F9"/>
    <w:rsid w:val="0044271B"/>
    <w:rsid w:val="0044435C"/>
    <w:rsid w:val="0044484B"/>
    <w:rsid w:val="00445D68"/>
    <w:rsid w:val="00446163"/>
    <w:rsid w:val="00447EBC"/>
    <w:rsid w:val="00450DE2"/>
    <w:rsid w:val="00452671"/>
    <w:rsid w:val="0045444D"/>
    <w:rsid w:val="00454AD5"/>
    <w:rsid w:val="004551D5"/>
    <w:rsid w:val="004565A3"/>
    <w:rsid w:val="00457578"/>
    <w:rsid w:val="00457BA6"/>
    <w:rsid w:val="00457E3D"/>
    <w:rsid w:val="00460329"/>
    <w:rsid w:val="00463C10"/>
    <w:rsid w:val="00465F59"/>
    <w:rsid w:val="004704A4"/>
    <w:rsid w:val="00471297"/>
    <w:rsid w:val="00475678"/>
    <w:rsid w:val="00477009"/>
    <w:rsid w:val="0047717E"/>
    <w:rsid w:val="00481495"/>
    <w:rsid w:val="00481676"/>
    <w:rsid w:val="004816C9"/>
    <w:rsid w:val="00482A5E"/>
    <w:rsid w:val="0048317E"/>
    <w:rsid w:val="0048320F"/>
    <w:rsid w:val="00484135"/>
    <w:rsid w:val="00484716"/>
    <w:rsid w:val="00485AE1"/>
    <w:rsid w:val="00485EA4"/>
    <w:rsid w:val="0048603E"/>
    <w:rsid w:val="00486D97"/>
    <w:rsid w:val="00486E82"/>
    <w:rsid w:val="00487F3B"/>
    <w:rsid w:val="0049010A"/>
    <w:rsid w:val="0049076F"/>
    <w:rsid w:val="0049091D"/>
    <w:rsid w:val="00492C13"/>
    <w:rsid w:val="004943AF"/>
    <w:rsid w:val="004975C1"/>
    <w:rsid w:val="00497BC5"/>
    <w:rsid w:val="004A092B"/>
    <w:rsid w:val="004A37CA"/>
    <w:rsid w:val="004A54DB"/>
    <w:rsid w:val="004A7598"/>
    <w:rsid w:val="004B1959"/>
    <w:rsid w:val="004B33E5"/>
    <w:rsid w:val="004B3887"/>
    <w:rsid w:val="004B5A6F"/>
    <w:rsid w:val="004B6769"/>
    <w:rsid w:val="004C4862"/>
    <w:rsid w:val="004C6284"/>
    <w:rsid w:val="004C6444"/>
    <w:rsid w:val="004C7EF8"/>
    <w:rsid w:val="004D09E0"/>
    <w:rsid w:val="004D1C45"/>
    <w:rsid w:val="004D1CFB"/>
    <w:rsid w:val="004D204B"/>
    <w:rsid w:val="004D3354"/>
    <w:rsid w:val="004D4DD9"/>
    <w:rsid w:val="004D4E5F"/>
    <w:rsid w:val="004D5ADD"/>
    <w:rsid w:val="004E22ED"/>
    <w:rsid w:val="004E2FC8"/>
    <w:rsid w:val="004E4BD6"/>
    <w:rsid w:val="004E4DC4"/>
    <w:rsid w:val="004E684E"/>
    <w:rsid w:val="004E777E"/>
    <w:rsid w:val="004E78E4"/>
    <w:rsid w:val="004F0F48"/>
    <w:rsid w:val="004F1A8B"/>
    <w:rsid w:val="004F1F7E"/>
    <w:rsid w:val="004F22FF"/>
    <w:rsid w:val="004F29E8"/>
    <w:rsid w:val="004F37D4"/>
    <w:rsid w:val="004F3C05"/>
    <w:rsid w:val="004F450B"/>
    <w:rsid w:val="004F599E"/>
    <w:rsid w:val="004F5BAC"/>
    <w:rsid w:val="004F6859"/>
    <w:rsid w:val="004F6F5C"/>
    <w:rsid w:val="004F6F7F"/>
    <w:rsid w:val="004F7B48"/>
    <w:rsid w:val="004F7FC1"/>
    <w:rsid w:val="00500F17"/>
    <w:rsid w:val="00502405"/>
    <w:rsid w:val="00502C04"/>
    <w:rsid w:val="00503E63"/>
    <w:rsid w:val="005052D1"/>
    <w:rsid w:val="0050598F"/>
    <w:rsid w:val="00505BF0"/>
    <w:rsid w:val="00505E16"/>
    <w:rsid w:val="00507330"/>
    <w:rsid w:val="00510389"/>
    <w:rsid w:val="00511A49"/>
    <w:rsid w:val="0051210E"/>
    <w:rsid w:val="00513556"/>
    <w:rsid w:val="00513EEF"/>
    <w:rsid w:val="005166FB"/>
    <w:rsid w:val="00517148"/>
    <w:rsid w:val="00522B98"/>
    <w:rsid w:val="005244BD"/>
    <w:rsid w:val="005246B2"/>
    <w:rsid w:val="005275EC"/>
    <w:rsid w:val="005278ED"/>
    <w:rsid w:val="00530A4B"/>
    <w:rsid w:val="0053112D"/>
    <w:rsid w:val="0053224D"/>
    <w:rsid w:val="0053240F"/>
    <w:rsid w:val="00534640"/>
    <w:rsid w:val="00536DE0"/>
    <w:rsid w:val="00537D4D"/>
    <w:rsid w:val="00540BD3"/>
    <w:rsid w:val="00541020"/>
    <w:rsid w:val="00541609"/>
    <w:rsid w:val="0054195E"/>
    <w:rsid w:val="005439C9"/>
    <w:rsid w:val="00545129"/>
    <w:rsid w:val="00545FF5"/>
    <w:rsid w:val="00547A3B"/>
    <w:rsid w:val="00553485"/>
    <w:rsid w:val="00557035"/>
    <w:rsid w:val="00565870"/>
    <w:rsid w:val="005658F3"/>
    <w:rsid w:val="00566709"/>
    <w:rsid w:val="00566778"/>
    <w:rsid w:val="005670F6"/>
    <w:rsid w:val="00570999"/>
    <w:rsid w:val="00571040"/>
    <w:rsid w:val="00571DF8"/>
    <w:rsid w:val="00572C13"/>
    <w:rsid w:val="005731F2"/>
    <w:rsid w:val="00573B80"/>
    <w:rsid w:val="00574AD4"/>
    <w:rsid w:val="005758DF"/>
    <w:rsid w:val="0057716C"/>
    <w:rsid w:val="00581C9E"/>
    <w:rsid w:val="00582FE3"/>
    <w:rsid w:val="00584AE7"/>
    <w:rsid w:val="00584DA8"/>
    <w:rsid w:val="005859EC"/>
    <w:rsid w:val="00585F1D"/>
    <w:rsid w:val="0058630E"/>
    <w:rsid w:val="00586439"/>
    <w:rsid w:val="0058699A"/>
    <w:rsid w:val="005915F3"/>
    <w:rsid w:val="00592498"/>
    <w:rsid w:val="00593DBE"/>
    <w:rsid w:val="00595D57"/>
    <w:rsid w:val="0059722A"/>
    <w:rsid w:val="005A04C5"/>
    <w:rsid w:val="005A21A1"/>
    <w:rsid w:val="005A3307"/>
    <w:rsid w:val="005A536E"/>
    <w:rsid w:val="005A6731"/>
    <w:rsid w:val="005B1AAE"/>
    <w:rsid w:val="005B2FC9"/>
    <w:rsid w:val="005B40DB"/>
    <w:rsid w:val="005B5624"/>
    <w:rsid w:val="005B571E"/>
    <w:rsid w:val="005B58ED"/>
    <w:rsid w:val="005B63B3"/>
    <w:rsid w:val="005B6FA6"/>
    <w:rsid w:val="005C0A71"/>
    <w:rsid w:val="005C0F67"/>
    <w:rsid w:val="005C3CF6"/>
    <w:rsid w:val="005C46A1"/>
    <w:rsid w:val="005C4D49"/>
    <w:rsid w:val="005C538E"/>
    <w:rsid w:val="005C7E64"/>
    <w:rsid w:val="005D14AF"/>
    <w:rsid w:val="005D1B49"/>
    <w:rsid w:val="005D1F88"/>
    <w:rsid w:val="005D42E4"/>
    <w:rsid w:val="005E0F1C"/>
    <w:rsid w:val="005E13E9"/>
    <w:rsid w:val="005E1679"/>
    <w:rsid w:val="005E17C3"/>
    <w:rsid w:val="005E2319"/>
    <w:rsid w:val="005E311C"/>
    <w:rsid w:val="005E35B3"/>
    <w:rsid w:val="005E7401"/>
    <w:rsid w:val="005F0113"/>
    <w:rsid w:val="005F33CE"/>
    <w:rsid w:val="005F3723"/>
    <w:rsid w:val="005F39D8"/>
    <w:rsid w:val="005F413E"/>
    <w:rsid w:val="005F42CD"/>
    <w:rsid w:val="005F4803"/>
    <w:rsid w:val="005F568D"/>
    <w:rsid w:val="005F6006"/>
    <w:rsid w:val="005F7CB9"/>
    <w:rsid w:val="00601E00"/>
    <w:rsid w:val="00605224"/>
    <w:rsid w:val="0060553F"/>
    <w:rsid w:val="00606E73"/>
    <w:rsid w:val="006072EF"/>
    <w:rsid w:val="006076BA"/>
    <w:rsid w:val="006077A3"/>
    <w:rsid w:val="0061054B"/>
    <w:rsid w:val="00610B45"/>
    <w:rsid w:val="00610FFE"/>
    <w:rsid w:val="00611E4D"/>
    <w:rsid w:val="0061425B"/>
    <w:rsid w:val="00615692"/>
    <w:rsid w:val="006162CA"/>
    <w:rsid w:val="00616676"/>
    <w:rsid w:val="0061679A"/>
    <w:rsid w:val="00617A92"/>
    <w:rsid w:val="00620015"/>
    <w:rsid w:val="0062141D"/>
    <w:rsid w:val="0062455F"/>
    <w:rsid w:val="00624D63"/>
    <w:rsid w:val="0062508B"/>
    <w:rsid w:val="00626C0A"/>
    <w:rsid w:val="0062793B"/>
    <w:rsid w:val="00630231"/>
    <w:rsid w:val="00635EA6"/>
    <w:rsid w:val="00636B5D"/>
    <w:rsid w:val="0063755D"/>
    <w:rsid w:val="0064068B"/>
    <w:rsid w:val="00640858"/>
    <w:rsid w:val="006410E1"/>
    <w:rsid w:val="00641A06"/>
    <w:rsid w:val="006421E6"/>
    <w:rsid w:val="00642436"/>
    <w:rsid w:val="006436C5"/>
    <w:rsid w:val="006441BF"/>
    <w:rsid w:val="006464C0"/>
    <w:rsid w:val="00646980"/>
    <w:rsid w:val="0065067E"/>
    <w:rsid w:val="0065128B"/>
    <w:rsid w:val="006517E2"/>
    <w:rsid w:val="00653436"/>
    <w:rsid w:val="0065643E"/>
    <w:rsid w:val="0065701F"/>
    <w:rsid w:val="00662742"/>
    <w:rsid w:val="0066284F"/>
    <w:rsid w:val="00662A97"/>
    <w:rsid w:val="00663DDC"/>
    <w:rsid w:val="00663F69"/>
    <w:rsid w:val="00665455"/>
    <w:rsid w:val="0066552C"/>
    <w:rsid w:val="00670B24"/>
    <w:rsid w:val="006718E1"/>
    <w:rsid w:val="006745B3"/>
    <w:rsid w:val="006751A2"/>
    <w:rsid w:val="00676025"/>
    <w:rsid w:val="006768D2"/>
    <w:rsid w:val="00681B97"/>
    <w:rsid w:val="00682776"/>
    <w:rsid w:val="00684EA3"/>
    <w:rsid w:val="00684F35"/>
    <w:rsid w:val="00685CD6"/>
    <w:rsid w:val="00686F51"/>
    <w:rsid w:val="006877CB"/>
    <w:rsid w:val="0069038B"/>
    <w:rsid w:val="00692968"/>
    <w:rsid w:val="0069337A"/>
    <w:rsid w:val="00695BE5"/>
    <w:rsid w:val="00696588"/>
    <w:rsid w:val="00696B26"/>
    <w:rsid w:val="006A2FA1"/>
    <w:rsid w:val="006A3339"/>
    <w:rsid w:val="006A5DA0"/>
    <w:rsid w:val="006A603F"/>
    <w:rsid w:val="006A717E"/>
    <w:rsid w:val="006A7F53"/>
    <w:rsid w:val="006B14EC"/>
    <w:rsid w:val="006B2DE9"/>
    <w:rsid w:val="006B36D0"/>
    <w:rsid w:val="006B3976"/>
    <w:rsid w:val="006B6188"/>
    <w:rsid w:val="006B6668"/>
    <w:rsid w:val="006B6B3C"/>
    <w:rsid w:val="006B7765"/>
    <w:rsid w:val="006B7FE0"/>
    <w:rsid w:val="006C00F6"/>
    <w:rsid w:val="006C0A02"/>
    <w:rsid w:val="006C1A28"/>
    <w:rsid w:val="006C2E29"/>
    <w:rsid w:val="006C3302"/>
    <w:rsid w:val="006C5004"/>
    <w:rsid w:val="006C5DEE"/>
    <w:rsid w:val="006D0274"/>
    <w:rsid w:val="006D0CD0"/>
    <w:rsid w:val="006D19BD"/>
    <w:rsid w:val="006D1D48"/>
    <w:rsid w:val="006D329E"/>
    <w:rsid w:val="006D36BE"/>
    <w:rsid w:val="006D48EA"/>
    <w:rsid w:val="006D5056"/>
    <w:rsid w:val="006D6EC3"/>
    <w:rsid w:val="006D72E2"/>
    <w:rsid w:val="006E3B36"/>
    <w:rsid w:val="006E78D6"/>
    <w:rsid w:val="006E79ED"/>
    <w:rsid w:val="006E7E5C"/>
    <w:rsid w:val="006F19DC"/>
    <w:rsid w:val="006F1EFB"/>
    <w:rsid w:val="006F2223"/>
    <w:rsid w:val="006F2B55"/>
    <w:rsid w:val="006F608D"/>
    <w:rsid w:val="007024F1"/>
    <w:rsid w:val="00706B05"/>
    <w:rsid w:val="00706DF6"/>
    <w:rsid w:val="00707073"/>
    <w:rsid w:val="00710489"/>
    <w:rsid w:val="00711EF3"/>
    <w:rsid w:val="00712F93"/>
    <w:rsid w:val="00713C73"/>
    <w:rsid w:val="00714644"/>
    <w:rsid w:val="00714CD9"/>
    <w:rsid w:val="00715304"/>
    <w:rsid w:val="0071580C"/>
    <w:rsid w:val="007166E4"/>
    <w:rsid w:val="00716A1F"/>
    <w:rsid w:val="0072025D"/>
    <w:rsid w:val="00720E78"/>
    <w:rsid w:val="00721E09"/>
    <w:rsid w:val="00722DC1"/>
    <w:rsid w:val="00722FD5"/>
    <w:rsid w:val="00724CC5"/>
    <w:rsid w:val="00726315"/>
    <w:rsid w:val="007304C5"/>
    <w:rsid w:val="00730FF4"/>
    <w:rsid w:val="00731129"/>
    <w:rsid w:val="0073152B"/>
    <w:rsid w:val="0073250F"/>
    <w:rsid w:val="0073665F"/>
    <w:rsid w:val="00736B9F"/>
    <w:rsid w:val="00737499"/>
    <w:rsid w:val="00740E57"/>
    <w:rsid w:val="00741823"/>
    <w:rsid w:val="00741B15"/>
    <w:rsid w:val="0074286C"/>
    <w:rsid w:val="007439E3"/>
    <w:rsid w:val="00746D65"/>
    <w:rsid w:val="00747E4D"/>
    <w:rsid w:val="00750D81"/>
    <w:rsid w:val="007519D7"/>
    <w:rsid w:val="00752986"/>
    <w:rsid w:val="00753DAF"/>
    <w:rsid w:val="00754551"/>
    <w:rsid w:val="00754CD0"/>
    <w:rsid w:val="00755940"/>
    <w:rsid w:val="00757ED6"/>
    <w:rsid w:val="00760640"/>
    <w:rsid w:val="00760822"/>
    <w:rsid w:val="00763882"/>
    <w:rsid w:val="00764E31"/>
    <w:rsid w:val="00767FE3"/>
    <w:rsid w:val="00770CC4"/>
    <w:rsid w:val="00770D0D"/>
    <w:rsid w:val="007735C1"/>
    <w:rsid w:val="00781537"/>
    <w:rsid w:val="007818AF"/>
    <w:rsid w:val="0078224B"/>
    <w:rsid w:val="00783735"/>
    <w:rsid w:val="0078393F"/>
    <w:rsid w:val="00785376"/>
    <w:rsid w:val="00790CB3"/>
    <w:rsid w:val="007921C1"/>
    <w:rsid w:val="0079357A"/>
    <w:rsid w:val="007936B1"/>
    <w:rsid w:val="00794362"/>
    <w:rsid w:val="0079496A"/>
    <w:rsid w:val="007951B8"/>
    <w:rsid w:val="007954D6"/>
    <w:rsid w:val="007956B9"/>
    <w:rsid w:val="0079698C"/>
    <w:rsid w:val="00796A55"/>
    <w:rsid w:val="0079799F"/>
    <w:rsid w:val="007A08EA"/>
    <w:rsid w:val="007A0C6B"/>
    <w:rsid w:val="007A1731"/>
    <w:rsid w:val="007A1B26"/>
    <w:rsid w:val="007A1E28"/>
    <w:rsid w:val="007A4415"/>
    <w:rsid w:val="007A5407"/>
    <w:rsid w:val="007A5799"/>
    <w:rsid w:val="007A5972"/>
    <w:rsid w:val="007B0E75"/>
    <w:rsid w:val="007B25CE"/>
    <w:rsid w:val="007B44FB"/>
    <w:rsid w:val="007B45DC"/>
    <w:rsid w:val="007B4C16"/>
    <w:rsid w:val="007B4EB5"/>
    <w:rsid w:val="007B4EF6"/>
    <w:rsid w:val="007B717E"/>
    <w:rsid w:val="007B7E14"/>
    <w:rsid w:val="007C0600"/>
    <w:rsid w:val="007C3E72"/>
    <w:rsid w:val="007C4483"/>
    <w:rsid w:val="007C4BE9"/>
    <w:rsid w:val="007C50BE"/>
    <w:rsid w:val="007C65CA"/>
    <w:rsid w:val="007C71D4"/>
    <w:rsid w:val="007D1BCA"/>
    <w:rsid w:val="007D228A"/>
    <w:rsid w:val="007D2328"/>
    <w:rsid w:val="007D306A"/>
    <w:rsid w:val="007D6C87"/>
    <w:rsid w:val="007D76BF"/>
    <w:rsid w:val="007E043B"/>
    <w:rsid w:val="007E0567"/>
    <w:rsid w:val="007E05A6"/>
    <w:rsid w:val="007E10C0"/>
    <w:rsid w:val="007E3AE3"/>
    <w:rsid w:val="007F0659"/>
    <w:rsid w:val="007F0D77"/>
    <w:rsid w:val="007F202C"/>
    <w:rsid w:val="007F2226"/>
    <w:rsid w:val="007F4E8C"/>
    <w:rsid w:val="007F5310"/>
    <w:rsid w:val="007F65EA"/>
    <w:rsid w:val="007F6611"/>
    <w:rsid w:val="00800CEC"/>
    <w:rsid w:val="00801834"/>
    <w:rsid w:val="00801C0A"/>
    <w:rsid w:val="00802F81"/>
    <w:rsid w:val="00804925"/>
    <w:rsid w:val="008053A0"/>
    <w:rsid w:val="00805870"/>
    <w:rsid w:val="00806122"/>
    <w:rsid w:val="00807EDB"/>
    <w:rsid w:val="0081031E"/>
    <w:rsid w:val="00813323"/>
    <w:rsid w:val="0081423D"/>
    <w:rsid w:val="00814973"/>
    <w:rsid w:val="00820DE2"/>
    <w:rsid w:val="008210C4"/>
    <w:rsid w:val="0082444E"/>
    <w:rsid w:val="0082724D"/>
    <w:rsid w:val="00827725"/>
    <w:rsid w:val="008307C2"/>
    <w:rsid w:val="00830B85"/>
    <w:rsid w:val="00831254"/>
    <w:rsid w:val="008316B9"/>
    <w:rsid w:val="00832146"/>
    <w:rsid w:val="00835209"/>
    <w:rsid w:val="00836EF9"/>
    <w:rsid w:val="008422E8"/>
    <w:rsid w:val="008423C5"/>
    <w:rsid w:val="00843070"/>
    <w:rsid w:val="00843625"/>
    <w:rsid w:val="00844251"/>
    <w:rsid w:val="00845B6B"/>
    <w:rsid w:val="00846BDC"/>
    <w:rsid w:val="00847856"/>
    <w:rsid w:val="00847C69"/>
    <w:rsid w:val="00850041"/>
    <w:rsid w:val="0085226B"/>
    <w:rsid w:val="00852BC6"/>
    <w:rsid w:val="00852F2A"/>
    <w:rsid w:val="00853CDA"/>
    <w:rsid w:val="00854934"/>
    <w:rsid w:val="00856BED"/>
    <w:rsid w:val="008603EA"/>
    <w:rsid w:val="00863AEB"/>
    <w:rsid w:val="00864189"/>
    <w:rsid w:val="00864341"/>
    <w:rsid w:val="008652F3"/>
    <w:rsid w:val="00866861"/>
    <w:rsid w:val="00866EA2"/>
    <w:rsid w:val="00870B1C"/>
    <w:rsid w:val="00870D17"/>
    <w:rsid w:val="00871D6C"/>
    <w:rsid w:val="008729A7"/>
    <w:rsid w:val="008800F8"/>
    <w:rsid w:val="00881761"/>
    <w:rsid w:val="00883312"/>
    <w:rsid w:val="0088482F"/>
    <w:rsid w:val="008868C3"/>
    <w:rsid w:val="00891234"/>
    <w:rsid w:val="00892EE1"/>
    <w:rsid w:val="008964DD"/>
    <w:rsid w:val="00896C2D"/>
    <w:rsid w:val="008A14E3"/>
    <w:rsid w:val="008A4741"/>
    <w:rsid w:val="008A4D3A"/>
    <w:rsid w:val="008A52DE"/>
    <w:rsid w:val="008A7351"/>
    <w:rsid w:val="008B0574"/>
    <w:rsid w:val="008B3AD2"/>
    <w:rsid w:val="008B3F7F"/>
    <w:rsid w:val="008B5029"/>
    <w:rsid w:val="008B66C8"/>
    <w:rsid w:val="008C0DE1"/>
    <w:rsid w:val="008D0C63"/>
    <w:rsid w:val="008D0D3E"/>
    <w:rsid w:val="008D26A5"/>
    <w:rsid w:val="008D271A"/>
    <w:rsid w:val="008D391E"/>
    <w:rsid w:val="008D529C"/>
    <w:rsid w:val="008D5951"/>
    <w:rsid w:val="008D745A"/>
    <w:rsid w:val="008E10E6"/>
    <w:rsid w:val="008E5F44"/>
    <w:rsid w:val="008E6379"/>
    <w:rsid w:val="008E6A8C"/>
    <w:rsid w:val="008F158F"/>
    <w:rsid w:val="008F1618"/>
    <w:rsid w:val="008F2D38"/>
    <w:rsid w:val="008F2E82"/>
    <w:rsid w:val="008F2FF0"/>
    <w:rsid w:val="008F355A"/>
    <w:rsid w:val="008F39F4"/>
    <w:rsid w:val="008F63FB"/>
    <w:rsid w:val="00900300"/>
    <w:rsid w:val="009008D0"/>
    <w:rsid w:val="00901E5D"/>
    <w:rsid w:val="00901FFC"/>
    <w:rsid w:val="00902494"/>
    <w:rsid w:val="00902ABB"/>
    <w:rsid w:val="00902B18"/>
    <w:rsid w:val="00902B49"/>
    <w:rsid w:val="009033FA"/>
    <w:rsid w:val="009062E9"/>
    <w:rsid w:val="00906538"/>
    <w:rsid w:val="00910C54"/>
    <w:rsid w:val="00910D3E"/>
    <w:rsid w:val="0091157F"/>
    <w:rsid w:val="00913593"/>
    <w:rsid w:val="00915BF2"/>
    <w:rsid w:val="00917F98"/>
    <w:rsid w:val="009209F6"/>
    <w:rsid w:val="00921FAB"/>
    <w:rsid w:val="00921FF2"/>
    <w:rsid w:val="00923270"/>
    <w:rsid w:val="00924442"/>
    <w:rsid w:val="00925B90"/>
    <w:rsid w:val="009260DB"/>
    <w:rsid w:val="009266A0"/>
    <w:rsid w:val="00927DE5"/>
    <w:rsid w:val="00932177"/>
    <w:rsid w:val="00932332"/>
    <w:rsid w:val="00932E35"/>
    <w:rsid w:val="009333B1"/>
    <w:rsid w:val="00935BF7"/>
    <w:rsid w:val="00935EF6"/>
    <w:rsid w:val="00936837"/>
    <w:rsid w:val="009401AE"/>
    <w:rsid w:val="00940B7E"/>
    <w:rsid w:val="00940ED2"/>
    <w:rsid w:val="00944C73"/>
    <w:rsid w:val="00945679"/>
    <w:rsid w:val="00954416"/>
    <w:rsid w:val="009548C1"/>
    <w:rsid w:val="00955DA4"/>
    <w:rsid w:val="00957779"/>
    <w:rsid w:val="0096011A"/>
    <w:rsid w:val="00960D0E"/>
    <w:rsid w:val="0096127F"/>
    <w:rsid w:val="00963198"/>
    <w:rsid w:val="00964C58"/>
    <w:rsid w:val="00967035"/>
    <w:rsid w:val="00971132"/>
    <w:rsid w:val="00973AC9"/>
    <w:rsid w:val="00973B9F"/>
    <w:rsid w:val="00975C1E"/>
    <w:rsid w:val="00976CBF"/>
    <w:rsid w:val="00976DC0"/>
    <w:rsid w:val="00977828"/>
    <w:rsid w:val="0098067A"/>
    <w:rsid w:val="00980DFA"/>
    <w:rsid w:val="009820CD"/>
    <w:rsid w:val="0098225D"/>
    <w:rsid w:val="009823D3"/>
    <w:rsid w:val="009830F7"/>
    <w:rsid w:val="00983799"/>
    <w:rsid w:val="009842BB"/>
    <w:rsid w:val="00987111"/>
    <w:rsid w:val="00990C2C"/>
    <w:rsid w:val="00991370"/>
    <w:rsid w:val="0099148F"/>
    <w:rsid w:val="0099173C"/>
    <w:rsid w:val="00991F89"/>
    <w:rsid w:val="00992158"/>
    <w:rsid w:val="00992653"/>
    <w:rsid w:val="009933AB"/>
    <w:rsid w:val="00994DC9"/>
    <w:rsid w:val="009951B3"/>
    <w:rsid w:val="00995C44"/>
    <w:rsid w:val="009A0812"/>
    <w:rsid w:val="009A120F"/>
    <w:rsid w:val="009A3BCC"/>
    <w:rsid w:val="009A4895"/>
    <w:rsid w:val="009A5FB8"/>
    <w:rsid w:val="009A64DF"/>
    <w:rsid w:val="009A6B4D"/>
    <w:rsid w:val="009A71A7"/>
    <w:rsid w:val="009B2249"/>
    <w:rsid w:val="009B62D5"/>
    <w:rsid w:val="009B7123"/>
    <w:rsid w:val="009C05C8"/>
    <w:rsid w:val="009C0AC0"/>
    <w:rsid w:val="009C208E"/>
    <w:rsid w:val="009C2416"/>
    <w:rsid w:val="009C329F"/>
    <w:rsid w:val="009C3664"/>
    <w:rsid w:val="009C5C84"/>
    <w:rsid w:val="009C61D1"/>
    <w:rsid w:val="009C646F"/>
    <w:rsid w:val="009C6614"/>
    <w:rsid w:val="009D0C3B"/>
    <w:rsid w:val="009D23EF"/>
    <w:rsid w:val="009D2624"/>
    <w:rsid w:val="009D46D4"/>
    <w:rsid w:val="009D6EA1"/>
    <w:rsid w:val="009D725F"/>
    <w:rsid w:val="009D7ACA"/>
    <w:rsid w:val="009D7B08"/>
    <w:rsid w:val="009E2D89"/>
    <w:rsid w:val="009E531A"/>
    <w:rsid w:val="009E573A"/>
    <w:rsid w:val="009E5E91"/>
    <w:rsid w:val="009E7359"/>
    <w:rsid w:val="009E77FB"/>
    <w:rsid w:val="009E7F4D"/>
    <w:rsid w:val="009F08C2"/>
    <w:rsid w:val="009F3E5F"/>
    <w:rsid w:val="009F4721"/>
    <w:rsid w:val="009F661B"/>
    <w:rsid w:val="009F7A06"/>
    <w:rsid w:val="00A02464"/>
    <w:rsid w:val="00A02FE4"/>
    <w:rsid w:val="00A0310B"/>
    <w:rsid w:val="00A0340F"/>
    <w:rsid w:val="00A04509"/>
    <w:rsid w:val="00A04C4D"/>
    <w:rsid w:val="00A05948"/>
    <w:rsid w:val="00A05BF6"/>
    <w:rsid w:val="00A10A30"/>
    <w:rsid w:val="00A12529"/>
    <w:rsid w:val="00A13323"/>
    <w:rsid w:val="00A20A4B"/>
    <w:rsid w:val="00A22BD6"/>
    <w:rsid w:val="00A23767"/>
    <w:rsid w:val="00A24AB2"/>
    <w:rsid w:val="00A25883"/>
    <w:rsid w:val="00A27C6A"/>
    <w:rsid w:val="00A3041E"/>
    <w:rsid w:val="00A32246"/>
    <w:rsid w:val="00A347DC"/>
    <w:rsid w:val="00A34ABF"/>
    <w:rsid w:val="00A34EA8"/>
    <w:rsid w:val="00A36064"/>
    <w:rsid w:val="00A36273"/>
    <w:rsid w:val="00A37060"/>
    <w:rsid w:val="00A409C7"/>
    <w:rsid w:val="00A40A78"/>
    <w:rsid w:val="00A43458"/>
    <w:rsid w:val="00A439E1"/>
    <w:rsid w:val="00A458A3"/>
    <w:rsid w:val="00A509DE"/>
    <w:rsid w:val="00A512F5"/>
    <w:rsid w:val="00A51F5E"/>
    <w:rsid w:val="00A527D4"/>
    <w:rsid w:val="00A53994"/>
    <w:rsid w:val="00A5536E"/>
    <w:rsid w:val="00A56939"/>
    <w:rsid w:val="00A57606"/>
    <w:rsid w:val="00A60150"/>
    <w:rsid w:val="00A60990"/>
    <w:rsid w:val="00A61420"/>
    <w:rsid w:val="00A61BCC"/>
    <w:rsid w:val="00A64CD2"/>
    <w:rsid w:val="00A65326"/>
    <w:rsid w:val="00A65D78"/>
    <w:rsid w:val="00A67656"/>
    <w:rsid w:val="00A73972"/>
    <w:rsid w:val="00A740C4"/>
    <w:rsid w:val="00A7429C"/>
    <w:rsid w:val="00A7464A"/>
    <w:rsid w:val="00A747A5"/>
    <w:rsid w:val="00A74EDE"/>
    <w:rsid w:val="00A75090"/>
    <w:rsid w:val="00A75147"/>
    <w:rsid w:val="00A7681D"/>
    <w:rsid w:val="00A8027D"/>
    <w:rsid w:val="00A80F28"/>
    <w:rsid w:val="00A84FEE"/>
    <w:rsid w:val="00A853B9"/>
    <w:rsid w:val="00A87C23"/>
    <w:rsid w:val="00A87FB3"/>
    <w:rsid w:val="00A90BB7"/>
    <w:rsid w:val="00A976E3"/>
    <w:rsid w:val="00A97AC2"/>
    <w:rsid w:val="00A97F12"/>
    <w:rsid w:val="00AA0A06"/>
    <w:rsid w:val="00AA51B5"/>
    <w:rsid w:val="00AB00CE"/>
    <w:rsid w:val="00AB11F3"/>
    <w:rsid w:val="00AB34A6"/>
    <w:rsid w:val="00AB3FAD"/>
    <w:rsid w:val="00AB5370"/>
    <w:rsid w:val="00AB7F18"/>
    <w:rsid w:val="00AC4B8F"/>
    <w:rsid w:val="00AC5D17"/>
    <w:rsid w:val="00AC644A"/>
    <w:rsid w:val="00AC6BF0"/>
    <w:rsid w:val="00AD090D"/>
    <w:rsid w:val="00AD0953"/>
    <w:rsid w:val="00AD0B59"/>
    <w:rsid w:val="00AD23DB"/>
    <w:rsid w:val="00AD3C88"/>
    <w:rsid w:val="00AD405C"/>
    <w:rsid w:val="00AD5A9A"/>
    <w:rsid w:val="00AD76B1"/>
    <w:rsid w:val="00AD7E9C"/>
    <w:rsid w:val="00AD7F53"/>
    <w:rsid w:val="00AE1540"/>
    <w:rsid w:val="00AE18C6"/>
    <w:rsid w:val="00AE1BA7"/>
    <w:rsid w:val="00AE200A"/>
    <w:rsid w:val="00AE217C"/>
    <w:rsid w:val="00AE219A"/>
    <w:rsid w:val="00AE468F"/>
    <w:rsid w:val="00AE55A6"/>
    <w:rsid w:val="00AE6240"/>
    <w:rsid w:val="00AE7963"/>
    <w:rsid w:val="00AF1B9A"/>
    <w:rsid w:val="00AF2394"/>
    <w:rsid w:val="00AF23ED"/>
    <w:rsid w:val="00AF269F"/>
    <w:rsid w:val="00AF2E7F"/>
    <w:rsid w:val="00AF3701"/>
    <w:rsid w:val="00AF7F4B"/>
    <w:rsid w:val="00B006E8"/>
    <w:rsid w:val="00B00D5C"/>
    <w:rsid w:val="00B012B2"/>
    <w:rsid w:val="00B02354"/>
    <w:rsid w:val="00B03E44"/>
    <w:rsid w:val="00B0409D"/>
    <w:rsid w:val="00B04E21"/>
    <w:rsid w:val="00B073EF"/>
    <w:rsid w:val="00B10843"/>
    <w:rsid w:val="00B110BC"/>
    <w:rsid w:val="00B11CD8"/>
    <w:rsid w:val="00B128E8"/>
    <w:rsid w:val="00B131A5"/>
    <w:rsid w:val="00B16357"/>
    <w:rsid w:val="00B219EC"/>
    <w:rsid w:val="00B22013"/>
    <w:rsid w:val="00B22C0F"/>
    <w:rsid w:val="00B237AF"/>
    <w:rsid w:val="00B2507D"/>
    <w:rsid w:val="00B26083"/>
    <w:rsid w:val="00B30228"/>
    <w:rsid w:val="00B30E90"/>
    <w:rsid w:val="00B353BA"/>
    <w:rsid w:val="00B362CB"/>
    <w:rsid w:val="00B367AC"/>
    <w:rsid w:val="00B37763"/>
    <w:rsid w:val="00B37F04"/>
    <w:rsid w:val="00B404AE"/>
    <w:rsid w:val="00B40D2A"/>
    <w:rsid w:val="00B4269E"/>
    <w:rsid w:val="00B433AE"/>
    <w:rsid w:val="00B46460"/>
    <w:rsid w:val="00B469B5"/>
    <w:rsid w:val="00B46A5D"/>
    <w:rsid w:val="00B500D4"/>
    <w:rsid w:val="00B519DF"/>
    <w:rsid w:val="00B520E6"/>
    <w:rsid w:val="00B52634"/>
    <w:rsid w:val="00B52CFF"/>
    <w:rsid w:val="00B53A51"/>
    <w:rsid w:val="00B55399"/>
    <w:rsid w:val="00B60180"/>
    <w:rsid w:val="00B607F5"/>
    <w:rsid w:val="00B60993"/>
    <w:rsid w:val="00B63339"/>
    <w:rsid w:val="00B635C2"/>
    <w:rsid w:val="00B63B0F"/>
    <w:rsid w:val="00B64DBC"/>
    <w:rsid w:val="00B65C5E"/>
    <w:rsid w:val="00B705FD"/>
    <w:rsid w:val="00B70EF1"/>
    <w:rsid w:val="00B72106"/>
    <w:rsid w:val="00B72BD5"/>
    <w:rsid w:val="00B7579E"/>
    <w:rsid w:val="00B76597"/>
    <w:rsid w:val="00B7688E"/>
    <w:rsid w:val="00B77030"/>
    <w:rsid w:val="00B77F63"/>
    <w:rsid w:val="00B82942"/>
    <w:rsid w:val="00B82978"/>
    <w:rsid w:val="00B830FA"/>
    <w:rsid w:val="00B859D8"/>
    <w:rsid w:val="00B87B32"/>
    <w:rsid w:val="00B91BD1"/>
    <w:rsid w:val="00B92484"/>
    <w:rsid w:val="00B96367"/>
    <w:rsid w:val="00BA0819"/>
    <w:rsid w:val="00BA0F28"/>
    <w:rsid w:val="00BA1821"/>
    <w:rsid w:val="00BA1A4F"/>
    <w:rsid w:val="00BA22ED"/>
    <w:rsid w:val="00BA263E"/>
    <w:rsid w:val="00BA4420"/>
    <w:rsid w:val="00BA5250"/>
    <w:rsid w:val="00BA619D"/>
    <w:rsid w:val="00BA69FE"/>
    <w:rsid w:val="00BB45B4"/>
    <w:rsid w:val="00BB61EA"/>
    <w:rsid w:val="00BB6632"/>
    <w:rsid w:val="00BB7404"/>
    <w:rsid w:val="00BB76C0"/>
    <w:rsid w:val="00BC0088"/>
    <w:rsid w:val="00BC008E"/>
    <w:rsid w:val="00BC01E3"/>
    <w:rsid w:val="00BC21D6"/>
    <w:rsid w:val="00BC2EA8"/>
    <w:rsid w:val="00BC5FA0"/>
    <w:rsid w:val="00BC6497"/>
    <w:rsid w:val="00BC7A70"/>
    <w:rsid w:val="00BC7CC8"/>
    <w:rsid w:val="00BD0A7B"/>
    <w:rsid w:val="00BD321E"/>
    <w:rsid w:val="00BD33B5"/>
    <w:rsid w:val="00BD34EC"/>
    <w:rsid w:val="00BD4197"/>
    <w:rsid w:val="00BD469C"/>
    <w:rsid w:val="00BD4AC4"/>
    <w:rsid w:val="00BD4FE9"/>
    <w:rsid w:val="00BD7AB8"/>
    <w:rsid w:val="00BE0466"/>
    <w:rsid w:val="00BE5F4D"/>
    <w:rsid w:val="00BF102C"/>
    <w:rsid w:val="00BF2635"/>
    <w:rsid w:val="00BF26CF"/>
    <w:rsid w:val="00BF5C65"/>
    <w:rsid w:val="00BF5F07"/>
    <w:rsid w:val="00C023AF"/>
    <w:rsid w:val="00C0363C"/>
    <w:rsid w:val="00C03F17"/>
    <w:rsid w:val="00C07217"/>
    <w:rsid w:val="00C07D6A"/>
    <w:rsid w:val="00C1137C"/>
    <w:rsid w:val="00C13D06"/>
    <w:rsid w:val="00C15221"/>
    <w:rsid w:val="00C15F71"/>
    <w:rsid w:val="00C1615A"/>
    <w:rsid w:val="00C201D9"/>
    <w:rsid w:val="00C2045F"/>
    <w:rsid w:val="00C237BD"/>
    <w:rsid w:val="00C243D5"/>
    <w:rsid w:val="00C3052B"/>
    <w:rsid w:val="00C33582"/>
    <w:rsid w:val="00C3587C"/>
    <w:rsid w:val="00C419B6"/>
    <w:rsid w:val="00C43578"/>
    <w:rsid w:val="00C435B6"/>
    <w:rsid w:val="00C43B59"/>
    <w:rsid w:val="00C459BC"/>
    <w:rsid w:val="00C45EE5"/>
    <w:rsid w:val="00C46FFA"/>
    <w:rsid w:val="00C50E06"/>
    <w:rsid w:val="00C50F3D"/>
    <w:rsid w:val="00C51E36"/>
    <w:rsid w:val="00C52C5A"/>
    <w:rsid w:val="00C549DC"/>
    <w:rsid w:val="00C60587"/>
    <w:rsid w:val="00C612D3"/>
    <w:rsid w:val="00C62096"/>
    <w:rsid w:val="00C624BC"/>
    <w:rsid w:val="00C62BAC"/>
    <w:rsid w:val="00C63ADF"/>
    <w:rsid w:val="00C63B4B"/>
    <w:rsid w:val="00C64B45"/>
    <w:rsid w:val="00C66B48"/>
    <w:rsid w:val="00C702C9"/>
    <w:rsid w:val="00C71D7D"/>
    <w:rsid w:val="00C724AE"/>
    <w:rsid w:val="00C73B4F"/>
    <w:rsid w:val="00C7499C"/>
    <w:rsid w:val="00C75812"/>
    <w:rsid w:val="00C75E07"/>
    <w:rsid w:val="00C76218"/>
    <w:rsid w:val="00C800AC"/>
    <w:rsid w:val="00C80E40"/>
    <w:rsid w:val="00C81779"/>
    <w:rsid w:val="00C85FF7"/>
    <w:rsid w:val="00C862DB"/>
    <w:rsid w:val="00C86BA4"/>
    <w:rsid w:val="00C86F61"/>
    <w:rsid w:val="00C8716E"/>
    <w:rsid w:val="00C87A5F"/>
    <w:rsid w:val="00C90171"/>
    <w:rsid w:val="00C90CC6"/>
    <w:rsid w:val="00C92E62"/>
    <w:rsid w:val="00C95A8A"/>
    <w:rsid w:val="00C95F08"/>
    <w:rsid w:val="00C96209"/>
    <w:rsid w:val="00C963E5"/>
    <w:rsid w:val="00C96476"/>
    <w:rsid w:val="00C97C80"/>
    <w:rsid w:val="00CA2348"/>
    <w:rsid w:val="00CA4EA1"/>
    <w:rsid w:val="00CA5140"/>
    <w:rsid w:val="00CA73A1"/>
    <w:rsid w:val="00CB0B23"/>
    <w:rsid w:val="00CB65BB"/>
    <w:rsid w:val="00CB7131"/>
    <w:rsid w:val="00CB7274"/>
    <w:rsid w:val="00CC01B4"/>
    <w:rsid w:val="00CC057C"/>
    <w:rsid w:val="00CC280A"/>
    <w:rsid w:val="00CC2ED9"/>
    <w:rsid w:val="00CC36A7"/>
    <w:rsid w:val="00CC36CE"/>
    <w:rsid w:val="00CC4300"/>
    <w:rsid w:val="00CC4A02"/>
    <w:rsid w:val="00CC53A8"/>
    <w:rsid w:val="00CC777A"/>
    <w:rsid w:val="00CC7A99"/>
    <w:rsid w:val="00CD068C"/>
    <w:rsid w:val="00CD1BBD"/>
    <w:rsid w:val="00CD3016"/>
    <w:rsid w:val="00CD32BE"/>
    <w:rsid w:val="00CD4B3D"/>
    <w:rsid w:val="00CD65BC"/>
    <w:rsid w:val="00CD759D"/>
    <w:rsid w:val="00CE0239"/>
    <w:rsid w:val="00CE0CAF"/>
    <w:rsid w:val="00CE4162"/>
    <w:rsid w:val="00CE676C"/>
    <w:rsid w:val="00CE67A2"/>
    <w:rsid w:val="00CE7500"/>
    <w:rsid w:val="00CE7600"/>
    <w:rsid w:val="00CF4530"/>
    <w:rsid w:val="00CF4D22"/>
    <w:rsid w:val="00CF71B9"/>
    <w:rsid w:val="00D00769"/>
    <w:rsid w:val="00D027DF"/>
    <w:rsid w:val="00D02D5D"/>
    <w:rsid w:val="00D031F3"/>
    <w:rsid w:val="00D05C91"/>
    <w:rsid w:val="00D06B30"/>
    <w:rsid w:val="00D10EE3"/>
    <w:rsid w:val="00D1132E"/>
    <w:rsid w:val="00D11E66"/>
    <w:rsid w:val="00D1465A"/>
    <w:rsid w:val="00D1529B"/>
    <w:rsid w:val="00D16AEC"/>
    <w:rsid w:val="00D16C1D"/>
    <w:rsid w:val="00D16DA5"/>
    <w:rsid w:val="00D20A5E"/>
    <w:rsid w:val="00D21600"/>
    <w:rsid w:val="00D24686"/>
    <w:rsid w:val="00D2476C"/>
    <w:rsid w:val="00D26D0B"/>
    <w:rsid w:val="00D31D5A"/>
    <w:rsid w:val="00D320C0"/>
    <w:rsid w:val="00D343FF"/>
    <w:rsid w:val="00D37F4E"/>
    <w:rsid w:val="00D40120"/>
    <w:rsid w:val="00D458FC"/>
    <w:rsid w:val="00D459E5"/>
    <w:rsid w:val="00D4757D"/>
    <w:rsid w:val="00D501E6"/>
    <w:rsid w:val="00D51762"/>
    <w:rsid w:val="00D5340B"/>
    <w:rsid w:val="00D54FCF"/>
    <w:rsid w:val="00D55153"/>
    <w:rsid w:val="00D55343"/>
    <w:rsid w:val="00D57884"/>
    <w:rsid w:val="00D600DA"/>
    <w:rsid w:val="00D626A3"/>
    <w:rsid w:val="00D62AD7"/>
    <w:rsid w:val="00D63FE5"/>
    <w:rsid w:val="00D646DE"/>
    <w:rsid w:val="00D65630"/>
    <w:rsid w:val="00D65EAB"/>
    <w:rsid w:val="00D65EB3"/>
    <w:rsid w:val="00D663C9"/>
    <w:rsid w:val="00D66673"/>
    <w:rsid w:val="00D6774E"/>
    <w:rsid w:val="00D70F8D"/>
    <w:rsid w:val="00D70FB8"/>
    <w:rsid w:val="00D727E6"/>
    <w:rsid w:val="00D728C3"/>
    <w:rsid w:val="00D72BF7"/>
    <w:rsid w:val="00D73C42"/>
    <w:rsid w:val="00D742DB"/>
    <w:rsid w:val="00D743AB"/>
    <w:rsid w:val="00D75E5E"/>
    <w:rsid w:val="00D76E20"/>
    <w:rsid w:val="00D77006"/>
    <w:rsid w:val="00D83428"/>
    <w:rsid w:val="00D834AC"/>
    <w:rsid w:val="00D83F20"/>
    <w:rsid w:val="00D8465F"/>
    <w:rsid w:val="00D872A3"/>
    <w:rsid w:val="00D87C95"/>
    <w:rsid w:val="00D91A58"/>
    <w:rsid w:val="00D927AE"/>
    <w:rsid w:val="00D93AAB"/>
    <w:rsid w:val="00D94974"/>
    <w:rsid w:val="00D9635B"/>
    <w:rsid w:val="00DA1914"/>
    <w:rsid w:val="00DA1A67"/>
    <w:rsid w:val="00DA1F08"/>
    <w:rsid w:val="00DA1F63"/>
    <w:rsid w:val="00DA396E"/>
    <w:rsid w:val="00DA708D"/>
    <w:rsid w:val="00DA7FBA"/>
    <w:rsid w:val="00DB143B"/>
    <w:rsid w:val="00DB154F"/>
    <w:rsid w:val="00DB180B"/>
    <w:rsid w:val="00DB244E"/>
    <w:rsid w:val="00DB2AA5"/>
    <w:rsid w:val="00DB357D"/>
    <w:rsid w:val="00DB3D62"/>
    <w:rsid w:val="00DB52BC"/>
    <w:rsid w:val="00DB5C1B"/>
    <w:rsid w:val="00DB6F32"/>
    <w:rsid w:val="00DB7BC3"/>
    <w:rsid w:val="00DC1747"/>
    <w:rsid w:val="00DC199F"/>
    <w:rsid w:val="00DC1D34"/>
    <w:rsid w:val="00DC3656"/>
    <w:rsid w:val="00DC45A6"/>
    <w:rsid w:val="00DC6C43"/>
    <w:rsid w:val="00DD0838"/>
    <w:rsid w:val="00DD1B65"/>
    <w:rsid w:val="00DD1BD7"/>
    <w:rsid w:val="00DD40F1"/>
    <w:rsid w:val="00DD485C"/>
    <w:rsid w:val="00DD4F79"/>
    <w:rsid w:val="00DD5E59"/>
    <w:rsid w:val="00DD6E4E"/>
    <w:rsid w:val="00DD74BC"/>
    <w:rsid w:val="00DE1549"/>
    <w:rsid w:val="00DE42A2"/>
    <w:rsid w:val="00DE5B8E"/>
    <w:rsid w:val="00DE779A"/>
    <w:rsid w:val="00DE7ED3"/>
    <w:rsid w:val="00DF0611"/>
    <w:rsid w:val="00DF0938"/>
    <w:rsid w:val="00DF101F"/>
    <w:rsid w:val="00DF1E5A"/>
    <w:rsid w:val="00DF35A8"/>
    <w:rsid w:val="00DF4CCF"/>
    <w:rsid w:val="00DF56F4"/>
    <w:rsid w:val="00DF59BB"/>
    <w:rsid w:val="00DF7F52"/>
    <w:rsid w:val="00E00AF1"/>
    <w:rsid w:val="00E01D1B"/>
    <w:rsid w:val="00E02ACB"/>
    <w:rsid w:val="00E02EEE"/>
    <w:rsid w:val="00E039F6"/>
    <w:rsid w:val="00E03EE2"/>
    <w:rsid w:val="00E05BBB"/>
    <w:rsid w:val="00E05BE7"/>
    <w:rsid w:val="00E1099C"/>
    <w:rsid w:val="00E129BC"/>
    <w:rsid w:val="00E175F8"/>
    <w:rsid w:val="00E21CD2"/>
    <w:rsid w:val="00E23D83"/>
    <w:rsid w:val="00E24854"/>
    <w:rsid w:val="00E26223"/>
    <w:rsid w:val="00E27869"/>
    <w:rsid w:val="00E27E8C"/>
    <w:rsid w:val="00E3135E"/>
    <w:rsid w:val="00E314F1"/>
    <w:rsid w:val="00E32DEA"/>
    <w:rsid w:val="00E330C1"/>
    <w:rsid w:val="00E36541"/>
    <w:rsid w:val="00E375D1"/>
    <w:rsid w:val="00E379AF"/>
    <w:rsid w:val="00E37F72"/>
    <w:rsid w:val="00E403EE"/>
    <w:rsid w:val="00E40FBF"/>
    <w:rsid w:val="00E411BF"/>
    <w:rsid w:val="00E41313"/>
    <w:rsid w:val="00E42302"/>
    <w:rsid w:val="00E42419"/>
    <w:rsid w:val="00E42B42"/>
    <w:rsid w:val="00E433D3"/>
    <w:rsid w:val="00E43EDE"/>
    <w:rsid w:val="00E459C9"/>
    <w:rsid w:val="00E51EE2"/>
    <w:rsid w:val="00E53A1F"/>
    <w:rsid w:val="00E53C06"/>
    <w:rsid w:val="00E54205"/>
    <w:rsid w:val="00E544F8"/>
    <w:rsid w:val="00E54774"/>
    <w:rsid w:val="00E54C40"/>
    <w:rsid w:val="00E57F9C"/>
    <w:rsid w:val="00E614A1"/>
    <w:rsid w:val="00E61809"/>
    <w:rsid w:val="00E6245F"/>
    <w:rsid w:val="00E62CA2"/>
    <w:rsid w:val="00E64452"/>
    <w:rsid w:val="00E646D5"/>
    <w:rsid w:val="00E65764"/>
    <w:rsid w:val="00E706C4"/>
    <w:rsid w:val="00E71185"/>
    <w:rsid w:val="00E71C56"/>
    <w:rsid w:val="00E7417E"/>
    <w:rsid w:val="00E75337"/>
    <w:rsid w:val="00E810FC"/>
    <w:rsid w:val="00E8146E"/>
    <w:rsid w:val="00E835F8"/>
    <w:rsid w:val="00E83D64"/>
    <w:rsid w:val="00E858CC"/>
    <w:rsid w:val="00E86CD0"/>
    <w:rsid w:val="00E86EA8"/>
    <w:rsid w:val="00E871EC"/>
    <w:rsid w:val="00E91D53"/>
    <w:rsid w:val="00E940A1"/>
    <w:rsid w:val="00E94605"/>
    <w:rsid w:val="00E94845"/>
    <w:rsid w:val="00EA06A5"/>
    <w:rsid w:val="00EA0A45"/>
    <w:rsid w:val="00EA2F82"/>
    <w:rsid w:val="00EA40C8"/>
    <w:rsid w:val="00EA4A22"/>
    <w:rsid w:val="00EA7E6F"/>
    <w:rsid w:val="00EB46F5"/>
    <w:rsid w:val="00EB63A5"/>
    <w:rsid w:val="00EC1BFD"/>
    <w:rsid w:val="00EC334C"/>
    <w:rsid w:val="00EC424E"/>
    <w:rsid w:val="00EC4F67"/>
    <w:rsid w:val="00EC5E9F"/>
    <w:rsid w:val="00EC6A65"/>
    <w:rsid w:val="00ED0619"/>
    <w:rsid w:val="00ED0D9B"/>
    <w:rsid w:val="00ED0FF7"/>
    <w:rsid w:val="00ED3264"/>
    <w:rsid w:val="00ED3665"/>
    <w:rsid w:val="00ED3D95"/>
    <w:rsid w:val="00ED4561"/>
    <w:rsid w:val="00ED7582"/>
    <w:rsid w:val="00EE3723"/>
    <w:rsid w:val="00EE479F"/>
    <w:rsid w:val="00EE7045"/>
    <w:rsid w:val="00EE7D88"/>
    <w:rsid w:val="00EF0545"/>
    <w:rsid w:val="00EF1AF9"/>
    <w:rsid w:val="00EF42A4"/>
    <w:rsid w:val="00EF4335"/>
    <w:rsid w:val="00EF4474"/>
    <w:rsid w:val="00EF5880"/>
    <w:rsid w:val="00EF5EC3"/>
    <w:rsid w:val="00EF5F11"/>
    <w:rsid w:val="00EF6AE1"/>
    <w:rsid w:val="00F005A3"/>
    <w:rsid w:val="00F00757"/>
    <w:rsid w:val="00F02EEC"/>
    <w:rsid w:val="00F10348"/>
    <w:rsid w:val="00F10596"/>
    <w:rsid w:val="00F121A7"/>
    <w:rsid w:val="00F12847"/>
    <w:rsid w:val="00F132AE"/>
    <w:rsid w:val="00F13A41"/>
    <w:rsid w:val="00F14067"/>
    <w:rsid w:val="00F14428"/>
    <w:rsid w:val="00F14B87"/>
    <w:rsid w:val="00F155B1"/>
    <w:rsid w:val="00F17B73"/>
    <w:rsid w:val="00F213EF"/>
    <w:rsid w:val="00F23186"/>
    <w:rsid w:val="00F23359"/>
    <w:rsid w:val="00F23DFA"/>
    <w:rsid w:val="00F23E6B"/>
    <w:rsid w:val="00F25A82"/>
    <w:rsid w:val="00F26350"/>
    <w:rsid w:val="00F26EB0"/>
    <w:rsid w:val="00F272CD"/>
    <w:rsid w:val="00F2756A"/>
    <w:rsid w:val="00F27F45"/>
    <w:rsid w:val="00F27FFD"/>
    <w:rsid w:val="00F30981"/>
    <w:rsid w:val="00F32635"/>
    <w:rsid w:val="00F32A07"/>
    <w:rsid w:val="00F3307D"/>
    <w:rsid w:val="00F3358E"/>
    <w:rsid w:val="00F35B7A"/>
    <w:rsid w:val="00F36864"/>
    <w:rsid w:val="00F37B26"/>
    <w:rsid w:val="00F40AC1"/>
    <w:rsid w:val="00F41A09"/>
    <w:rsid w:val="00F41EB1"/>
    <w:rsid w:val="00F43027"/>
    <w:rsid w:val="00F43044"/>
    <w:rsid w:val="00F45199"/>
    <w:rsid w:val="00F463CB"/>
    <w:rsid w:val="00F466F0"/>
    <w:rsid w:val="00F4679E"/>
    <w:rsid w:val="00F46DA7"/>
    <w:rsid w:val="00F47030"/>
    <w:rsid w:val="00F5152C"/>
    <w:rsid w:val="00F53116"/>
    <w:rsid w:val="00F5325B"/>
    <w:rsid w:val="00F53DB5"/>
    <w:rsid w:val="00F53ED5"/>
    <w:rsid w:val="00F559E4"/>
    <w:rsid w:val="00F57946"/>
    <w:rsid w:val="00F612F6"/>
    <w:rsid w:val="00F62990"/>
    <w:rsid w:val="00F636BE"/>
    <w:rsid w:val="00F65661"/>
    <w:rsid w:val="00F679F8"/>
    <w:rsid w:val="00F728B6"/>
    <w:rsid w:val="00F73643"/>
    <w:rsid w:val="00F74724"/>
    <w:rsid w:val="00F75952"/>
    <w:rsid w:val="00F759FE"/>
    <w:rsid w:val="00F76927"/>
    <w:rsid w:val="00F818C2"/>
    <w:rsid w:val="00F81B67"/>
    <w:rsid w:val="00F82166"/>
    <w:rsid w:val="00F833D8"/>
    <w:rsid w:val="00F8346C"/>
    <w:rsid w:val="00F85A8F"/>
    <w:rsid w:val="00F86C68"/>
    <w:rsid w:val="00F8753D"/>
    <w:rsid w:val="00F876B8"/>
    <w:rsid w:val="00F90473"/>
    <w:rsid w:val="00F91402"/>
    <w:rsid w:val="00F926A8"/>
    <w:rsid w:val="00F9280C"/>
    <w:rsid w:val="00F929B0"/>
    <w:rsid w:val="00F92BD5"/>
    <w:rsid w:val="00F94768"/>
    <w:rsid w:val="00F94804"/>
    <w:rsid w:val="00F94E1F"/>
    <w:rsid w:val="00F968E4"/>
    <w:rsid w:val="00FA277F"/>
    <w:rsid w:val="00FA27EA"/>
    <w:rsid w:val="00FA29F4"/>
    <w:rsid w:val="00FA3517"/>
    <w:rsid w:val="00FA67F5"/>
    <w:rsid w:val="00FA73D3"/>
    <w:rsid w:val="00FB0D03"/>
    <w:rsid w:val="00FB2633"/>
    <w:rsid w:val="00FB2BA8"/>
    <w:rsid w:val="00FB4418"/>
    <w:rsid w:val="00FB4BDF"/>
    <w:rsid w:val="00FB4FD1"/>
    <w:rsid w:val="00FB5D07"/>
    <w:rsid w:val="00FB67AE"/>
    <w:rsid w:val="00FB6BEF"/>
    <w:rsid w:val="00FB6F83"/>
    <w:rsid w:val="00FB7711"/>
    <w:rsid w:val="00FB7950"/>
    <w:rsid w:val="00FC2537"/>
    <w:rsid w:val="00FC2684"/>
    <w:rsid w:val="00FC2FC0"/>
    <w:rsid w:val="00FC5913"/>
    <w:rsid w:val="00FC5FFD"/>
    <w:rsid w:val="00FC63D0"/>
    <w:rsid w:val="00FC6408"/>
    <w:rsid w:val="00FC7394"/>
    <w:rsid w:val="00FD0592"/>
    <w:rsid w:val="00FD2BAE"/>
    <w:rsid w:val="00FD4974"/>
    <w:rsid w:val="00FD4D95"/>
    <w:rsid w:val="00FD556E"/>
    <w:rsid w:val="00FD6236"/>
    <w:rsid w:val="00FD6A0F"/>
    <w:rsid w:val="00FD7838"/>
    <w:rsid w:val="00FE1B35"/>
    <w:rsid w:val="00FE1DB7"/>
    <w:rsid w:val="00FE2416"/>
    <w:rsid w:val="00FE381B"/>
    <w:rsid w:val="00FE3DC0"/>
    <w:rsid w:val="00FE5C4F"/>
    <w:rsid w:val="00FE693A"/>
    <w:rsid w:val="00FE7B6C"/>
    <w:rsid w:val="00FE7C2F"/>
    <w:rsid w:val="00FF01F6"/>
    <w:rsid w:val="00FF095D"/>
    <w:rsid w:val="00FF13FF"/>
    <w:rsid w:val="00FF221F"/>
    <w:rsid w:val="00FF2B13"/>
    <w:rsid w:val="00FF34B9"/>
    <w:rsid w:val="00FF3B77"/>
    <w:rsid w:val="00FF50A4"/>
    <w:rsid w:val="00FF5AC4"/>
    <w:rsid w:val="00FF76B6"/>
  </w:rsids>
  <m:mathPr>
    <m:mathFont m:val="Cambria Math"/>
    <m:brkBin m:val="before"/>
    <m:brkBinSub m:val="--"/>
    <m:smallFrac m:val="0"/>
    <m:dispDef/>
    <m:lMargin m:val="0"/>
    <m:rMargin m:val="0"/>
    <m:defJc m:val="centerGroup"/>
    <m:wrapIndent m:val="1440"/>
    <m:intLim m:val="subSup"/>
    <m:naryLim m:val="undOvr"/>
  </m:mathPr>
  <w:themeFontLang w:val="fr-FR" w:eastAsia="ko-KR"/>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75F52FAB"/>
  <w15:docId w15:val="{3D99CF22-F2E4-48D2-8DD3-03BB0D328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05C8"/>
    <w:pPr>
      <w:spacing w:after="200" w:line="276" w:lineRule="auto"/>
    </w:pPr>
  </w:style>
  <w:style w:type="paragraph" w:styleId="Titre1">
    <w:name w:val="heading 1"/>
    <w:basedOn w:val="Normal"/>
    <w:next w:val="Normal"/>
    <w:link w:val="Titre1Car"/>
    <w:qFormat/>
    <w:rsid w:val="0065643E"/>
    <w:pPr>
      <w:keepNext/>
      <w:spacing w:before="240" w:after="60" w:line="240" w:lineRule="auto"/>
      <w:outlineLvl w:val="0"/>
    </w:pPr>
    <w:rPr>
      <w:rFonts w:asciiTheme="majorHAnsi" w:eastAsiaTheme="majorEastAsia" w:hAnsiTheme="majorHAnsi" w:cstheme="majorBidi"/>
      <w:b/>
      <w:bCs/>
      <w:kern w:val="32"/>
      <w:sz w:val="32"/>
      <w:szCs w:val="32"/>
      <w:lang w:eastAsia="fr-FR"/>
    </w:rPr>
  </w:style>
  <w:style w:type="paragraph" w:styleId="Titre2">
    <w:name w:val="heading 2"/>
    <w:basedOn w:val="Normal"/>
    <w:next w:val="Normal"/>
    <w:link w:val="Titre2Car"/>
    <w:uiPriority w:val="9"/>
    <w:unhideWhenUsed/>
    <w:qFormat/>
    <w:rsid w:val="00110C9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32640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C9620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itre1Car">
    <w:name w:val="Titre 1 Car"/>
    <w:basedOn w:val="Policepardfaut"/>
    <w:link w:val="Titre1"/>
    <w:rsid w:val="0065643E"/>
    <w:rPr>
      <w:rFonts w:asciiTheme="majorHAnsi" w:eastAsiaTheme="majorEastAsia" w:hAnsiTheme="majorHAnsi" w:cstheme="majorBidi"/>
      <w:b/>
      <w:bCs/>
      <w:kern w:val="32"/>
      <w:sz w:val="32"/>
      <w:szCs w:val="32"/>
      <w:lang w:eastAsia="fr-FR"/>
    </w:rPr>
  </w:style>
  <w:style w:type="paragraph" w:styleId="Paragraphedeliste">
    <w:name w:val="List Paragraph"/>
    <w:basedOn w:val="Normal"/>
    <w:uiPriority w:val="34"/>
    <w:qFormat/>
    <w:rsid w:val="008800F8"/>
    <w:pPr>
      <w:ind w:left="720"/>
      <w:contextualSpacing/>
    </w:pPr>
  </w:style>
  <w:style w:type="paragraph" w:styleId="En-tte">
    <w:name w:val="header"/>
    <w:basedOn w:val="Normal"/>
    <w:link w:val="En-tteCar"/>
    <w:uiPriority w:val="99"/>
    <w:unhideWhenUsed/>
    <w:rsid w:val="00475678"/>
    <w:pPr>
      <w:tabs>
        <w:tab w:val="center" w:pos="4536"/>
        <w:tab w:val="right" w:pos="9072"/>
      </w:tabs>
      <w:spacing w:after="0" w:line="240" w:lineRule="auto"/>
    </w:pPr>
  </w:style>
  <w:style w:type="character" w:customStyle="1" w:styleId="En-tteCar">
    <w:name w:val="En-tête Car"/>
    <w:basedOn w:val="Policepardfaut"/>
    <w:link w:val="En-tte"/>
    <w:uiPriority w:val="99"/>
    <w:rsid w:val="00475678"/>
  </w:style>
  <w:style w:type="paragraph" w:styleId="Pieddepage">
    <w:name w:val="footer"/>
    <w:basedOn w:val="Normal"/>
    <w:link w:val="PieddepageCar"/>
    <w:uiPriority w:val="99"/>
    <w:unhideWhenUsed/>
    <w:rsid w:val="0047567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75678"/>
  </w:style>
  <w:style w:type="character" w:customStyle="1" w:styleId="Titre2Car">
    <w:name w:val="Titre 2 Car"/>
    <w:basedOn w:val="Policepardfaut"/>
    <w:link w:val="Titre2"/>
    <w:uiPriority w:val="9"/>
    <w:rsid w:val="00110C95"/>
    <w:rPr>
      <w:rFonts w:asciiTheme="majorHAnsi" w:eastAsiaTheme="majorEastAsia" w:hAnsiTheme="majorHAnsi" w:cstheme="majorBidi"/>
      <w:color w:val="2E74B5" w:themeColor="accent1" w:themeShade="BF"/>
      <w:sz w:val="26"/>
      <w:szCs w:val="26"/>
    </w:rPr>
  </w:style>
  <w:style w:type="paragraph" w:styleId="En-ttedetabledesmatires">
    <w:name w:val="TOC Heading"/>
    <w:basedOn w:val="Titre1"/>
    <w:next w:val="Normal"/>
    <w:uiPriority w:val="39"/>
    <w:unhideWhenUsed/>
    <w:qFormat/>
    <w:rsid w:val="0079496A"/>
    <w:pPr>
      <w:keepLines/>
      <w:spacing w:after="0" w:line="259" w:lineRule="auto"/>
      <w:outlineLvl w:val="9"/>
    </w:pPr>
    <w:rPr>
      <w:b w:val="0"/>
      <w:bCs w:val="0"/>
      <w:color w:val="2E74B5" w:themeColor="accent1" w:themeShade="BF"/>
      <w:kern w:val="0"/>
      <w:lang w:val="en-US" w:eastAsia="en-US"/>
    </w:rPr>
  </w:style>
  <w:style w:type="paragraph" w:styleId="TM1">
    <w:name w:val="toc 1"/>
    <w:basedOn w:val="Normal"/>
    <w:next w:val="Normal"/>
    <w:autoRedefine/>
    <w:uiPriority w:val="39"/>
    <w:unhideWhenUsed/>
    <w:rsid w:val="007C4BE9"/>
    <w:pPr>
      <w:tabs>
        <w:tab w:val="right" w:leader="dot" w:pos="9062"/>
      </w:tabs>
      <w:spacing w:after="100"/>
      <w:jc w:val="right"/>
    </w:pPr>
  </w:style>
  <w:style w:type="paragraph" w:styleId="TM2">
    <w:name w:val="toc 2"/>
    <w:basedOn w:val="Normal"/>
    <w:next w:val="Normal"/>
    <w:autoRedefine/>
    <w:uiPriority w:val="39"/>
    <w:unhideWhenUsed/>
    <w:rsid w:val="00FE7C2F"/>
    <w:pPr>
      <w:tabs>
        <w:tab w:val="right" w:leader="dot" w:pos="9062"/>
      </w:tabs>
      <w:spacing w:after="100" w:line="360" w:lineRule="auto"/>
      <w:ind w:left="220"/>
      <w:jc w:val="both"/>
    </w:pPr>
  </w:style>
  <w:style w:type="character" w:styleId="Lienhypertexte">
    <w:name w:val="Hyperlink"/>
    <w:basedOn w:val="Policepardfaut"/>
    <w:uiPriority w:val="99"/>
    <w:unhideWhenUsed/>
    <w:rsid w:val="0079496A"/>
    <w:rPr>
      <w:color w:val="0563C1" w:themeColor="hyperlink"/>
      <w:u w:val="single"/>
    </w:rPr>
  </w:style>
  <w:style w:type="paragraph" w:styleId="NormalWeb">
    <w:name w:val="Normal (Web)"/>
    <w:basedOn w:val="Normal"/>
    <w:uiPriority w:val="99"/>
    <w:unhideWhenUsed/>
    <w:rsid w:val="00C64B45"/>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dutableau">
    <w:name w:val="Table Grid"/>
    <w:basedOn w:val="TableauNormal"/>
    <w:uiPriority w:val="39"/>
    <w:rsid w:val="004178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desillustrations">
    <w:name w:val="table of figures"/>
    <w:basedOn w:val="Normal"/>
    <w:next w:val="Normal"/>
    <w:uiPriority w:val="99"/>
    <w:unhideWhenUsed/>
    <w:rsid w:val="009C61D1"/>
    <w:pPr>
      <w:spacing w:after="0"/>
    </w:pPr>
  </w:style>
  <w:style w:type="paragraph" w:styleId="Notedebasdepage">
    <w:name w:val="footnote text"/>
    <w:basedOn w:val="Normal"/>
    <w:link w:val="NotedebasdepageCar"/>
    <w:uiPriority w:val="99"/>
    <w:semiHidden/>
    <w:unhideWhenUsed/>
    <w:rsid w:val="00541020"/>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541020"/>
    <w:rPr>
      <w:sz w:val="20"/>
      <w:szCs w:val="20"/>
    </w:rPr>
  </w:style>
  <w:style w:type="character" w:styleId="Appelnotedebasdep">
    <w:name w:val="footnote reference"/>
    <w:basedOn w:val="Policepardfaut"/>
    <w:uiPriority w:val="99"/>
    <w:semiHidden/>
    <w:unhideWhenUsed/>
    <w:rsid w:val="00541020"/>
    <w:rPr>
      <w:vertAlign w:val="superscript"/>
    </w:rPr>
  </w:style>
  <w:style w:type="paragraph" w:styleId="Textedebulles">
    <w:name w:val="Balloon Text"/>
    <w:basedOn w:val="Normal"/>
    <w:link w:val="TextedebullesCar"/>
    <w:uiPriority w:val="99"/>
    <w:semiHidden/>
    <w:unhideWhenUsed/>
    <w:rsid w:val="002401C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2401C7"/>
    <w:rPr>
      <w:rFonts w:ascii="Segoe UI" w:hAnsi="Segoe UI" w:cs="Segoe UI"/>
      <w:sz w:val="18"/>
      <w:szCs w:val="18"/>
    </w:rPr>
  </w:style>
  <w:style w:type="character" w:customStyle="1" w:styleId="Titre3Car">
    <w:name w:val="Titre 3 Car"/>
    <w:basedOn w:val="Policepardfaut"/>
    <w:link w:val="Titre3"/>
    <w:uiPriority w:val="9"/>
    <w:rsid w:val="00326403"/>
    <w:rPr>
      <w:rFonts w:asciiTheme="majorHAnsi" w:eastAsiaTheme="majorEastAsia" w:hAnsiTheme="majorHAnsi" w:cstheme="majorBidi"/>
      <w:color w:val="1F4D78" w:themeColor="accent1" w:themeShade="7F"/>
      <w:sz w:val="24"/>
      <w:szCs w:val="24"/>
    </w:rPr>
  </w:style>
  <w:style w:type="paragraph" w:styleId="Lgende">
    <w:name w:val="caption"/>
    <w:basedOn w:val="Normal"/>
    <w:next w:val="Normal"/>
    <w:uiPriority w:val="35"/>
    <w:unhideWhenUsed/>
    <w:qFormat/>
    <w:rsid w:val="005658F3"/>
    <w:pPr>
      <w:spacing w:line="240" w:lineRule="auto"/>
    </w:pPr>
    <w:rPr>
      <w:i/>
      <w:iCs/>
      <w:color w:val="44546A" w:themeColor="text2"/>
      <w:sz w:val="18"/>
      <w:szCs w:val="18"/>
    </w:rPr>
  </w:style>
  <w:style w:type="paragraph" w:styleId="TM3">
    <w:name w:val="toc 3"/>
    <w:basedOn w:val="Normal"/>
    <w:next w:val="Normal"/>
    <w:autoRedefine/>
    <w:uiPriority w:val="39"/>
    <w:unhideWhenUsed/>
    <w:rsid w:val="0011251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755646">
      <w:bodyDiv w:val="1"/>
      <w:marLeft w:val="0"/>
      <w:marRight w:val="0"/>
      <w:marTop w:val="0"/>
      <w:marBottom w:val="0"/>
      <w:divBdr>
        <w:top w:val="none" w:sz="0" w:space="0" w:color="auto"/>
        <w:left w:val="none" w:sz="0" w:space="0" w:color="auto"/>
        <w:bottom w:val="none" w:sz="0" w:space="0" w:color="auto"/>
        <w:right w:val="none" w:sz="0" w:space="0" w:color="auto"/>
      </w:divBdr>
    </w:div>
    <w:div w:id="113598959">
      <w:bodyDiv w:val="1"/>
      <w:marLeft w:val="0"/>
      <w:marRight w:val="0"/>
      <w:marTop w:val="0"/>
      <w:marBottom w:val="0"/>
      <w:divBdr>
        <w:top w:val="none" w:sz="0" w:space="0" w:color="auto"/>
        <w:left w:val="none" w:sz="0" w:space="0" w:color="auto"/>
        <w:bottom w:val="none" w:sz="0" w:space="0" w:color="auto"/>
        <w:right w:val="none" w:sz="0" w:space="0" w:color="auto"/>
      </w:divBdr>
    </w:div>
    <w:div w:id="116605733">
      <w:bodyDiv w:val="1"/>
      <w:marLeft w:val="0"/>
      <w:marRight w:val="0"/>
      <w:marTop w:val="0"/>
      <w:marBottom w:val="0"/>
      <w:divBdr>
        <w:top w:val="none" w:sz="0" w:space="0" w:color="auto"/>
        <w:left w:val="none" w:sz="0" w:space="0" w:color="auto"/>
        <w:bottom w:val="none" w:sz="0" w:space="0" w:color="auto"/>
        <w:right w:val="none" w:sz="0" w:space="0" w:color="auto"/>
      </w:divBdr>
    </w:div>
    <w:div w:id="138108812">
      <w:bodyDiv w:val="1"/>
      <w:marLeft w:val="0"/>
      <w:marRight w:val="0"/>
      <w:marTop w:val="0"/>
      <w:marBottom w:val="0"/>
      <w:divBdr>
        <w:top w:val="none" w:sz="0" w:space="0" w:color="auto"/>
        <w:left w:val="none" w:sz="0" w:space="0" w:color="auto"/>
        <w:bottom w:val="none" w:sz="0" w:space="0" w:color="auto"/>
        <w:right w:val="none" w:sz="0" w:space="0" w:color="auto"/>
      </w:divBdr>
    </w:div>
    <w:div w:id="153958143">
      <w:bodyDiv w:val="1"/>
      <w:marLeft w:val="0"/>
      <w:marRight w:val="0"/>
      <w:marTop w:val="0"/>
      <w:marBottom w:val="0"/>
      <w:divBdr>
        <w:top w:val="none" w:sz="0" w:space="0" w:color="auto"/>
        <w:left w:val="none" w:sz="0" w:space="0" w:color="auto"/>
        <w:bottom w:val="none" w:sz="0" w:space="0" w:color="auto"/>
        <w:right w:val="none" w:sz="0" w:space="0" w:color="auto"/>
      </w:divBdr>
    </w:div>
    <w:div w:id="208340220">
      <w:bodyDiv w:val="1"/>
      <w:marLeft w:val="0"/>
      <w:marRight w:val="0"/>
      <w:marTop w:val="0"/>
      <w:marBottom w:val="0"/>
      <w:divBdr>
        <w:top w:val="none" w:sz="0" w:space="0" w:color="auto"/>
        <w:left w:val="none" w:sz="0" w:space="0" w:color="auto"/>
        <w:bottom w:val="none" w:sz="0" w:space="0" w:color="auto"/>
        <w:right w:val="none" w:sz="0" w:space="0" w:color="auto"/>
      </w:divBdr>
    </w:div>
    <w:div w:id="222450747">
      <w:bodyDiv w:val="1"/>
      <w:marLeft w:val="0"/>
      <w:marRight w:val="0"/>
      <w:marTop w:val="0"/>
      <w:marBottom w:val="0"/>
      <w:divBdr>
        <w:top w:val="none" w:sz="0" w:space="0" w:color="auto"/>
        <w:left w:val="none" w:sz="0" w:space="0" w:color="auto"/>
        <w:bottom w:val="none" w:sz="0" w:space="0" w:color="auto"/>
        <w:right w:val="none" w:sz="0" w:space="0" w:color="auto"/>
      </w:divBdr>
    </w:div>
    <w:div w:id="223489439">
      <w:bodyDiv w:val="1"/>
      <w:marLeft w:val="0"/>
      <w:marRight w:val="0"/>
      <w:marTop w:val="0"/>
      <w:marBottom w:val="0"/>
      <w:divBdr>
        <w:top w:val="none" w:sz="0" w:space="0" w:color="auto"/>
        <w:left w:val="none" w:sz="0" w:space="0" w:color="auto"/>
        <w:bottom w:val="none" w:sz="0" w:space="0" w:color="auto"/>
        <w:right w:val="none" w:sz="0" w:space="0" w:color="auto"/>
      </w:divBdr>
    </w:div>
    <w:div w:id="233590266">
      <w:bodyDiv w:val="1"/>
      <w:marLeft w:val="0"/>
      <w:marRight w:val="0"/>
      <w:marTop w:val="0"/>
      <w:marBottom w:val="0"/>
      <w:divBdr>
        <w:top w:val="none" w:sz="0" w:space="0" w:color="auto"/>
        <w:left w:val="none" w:sz="0" w:space="0" w:color="auto"/>
        <w:bottom w:val="none" w:sz="0" w:space="0" w:color="auto"/>
        <w:right w:val="none" w:sz="0" w:space="0" w:color="auto"/>
      </w:divBdr>
    </w:div>
    <w:div w:id="242228532">
      <w:bodyDiv w:val="1"/>
      <w:marLeft w:val="0"/>
      <w:marRight w:val="0"/>
      <w:marTop w:val="0"/>
      <w:marBottom w:val="0"/>
      <w:divBdr>
        <w:top w:val="none" w:sz="0" w:space="0" w:color="auto"/>
        <w:left w:val="none" w:sz="0" w:space="0" w:color="auto"/>
        <w:bottom w:val="none" w:sz="0" w:space="0" w:color="auto"/>
        <w:right w:val="none" w:sz="0" w:space="0" w:color="auto"/>
      </w:divBdr>
    </w:div>
    <w:div w:id="257519339">
      <w:bodyDiv w:val="1"/>
      <w:marLeft w:val="0"/>
      <w:marRight w:val="0"/>
      <w:marTop w:val="0"/>
      <w:marBottom w:val="0"/>
      <w:divBdr>
        <w:top w:val="none" w:sz="0" w:space="0" w:color="auto"/>
        <w:left w:val="none" w:sz="0" w:space="0" w:color="auto"/>
        <w:bottom w:val="none" w:sz="0" w:space="0" w:color="auto"/>
        <w:right w:val="none" w:sz="0" w:space="0" w:color="auto"/>
      </w:divBdr>
    </w:div>
    <w:div w:id="271593416">
      <w:bodyDiv w:val="1"/>
      <w:marLeft w:val="0"/>
      <w:marRight w:val="0"/>
      <w:marTop w:val="0"/>
      <w:marBottom w:val="0"/>
      <w:divBdr>
        <w:top w:val="none" w:sz="0" w:space="0" w:color="auto"/>
        <w:left w:val="none" w:sz="0" w:space="0" w:color="auto"/>
        <w:bottom w:val="none" w:sz="0" w:space="0" w:color="auto"/>
        <w:right w:val="none" w:sz="0" w:space="0" w:color="auto"/>
      </w:divBdr>
    </w:div>
    <w:div w:id="336617552">
      <w:bodyDiv w:val="1"/>
      <w:marLeft w:val="0"/>
      <w:marRight w:val="0"/>
      <w:marTop w:val="0"/>
      <w:marBottom w:val="0"/>
      <w:divBdr>
        <w:top w:val="none" w:sz="0" w:space="0" w:color="auto"/>
        <w:left w:val="none" w:sz="0" w:space="0" w:color="auto"/>
        <w:bottom w:val="none" w:sz="0" w:space="0" w:color="auto"/>
        <w:right w:val="none" w:sz="0" w:space="0" w:color="auto"/>
      </w:divBdr>
    </w:div>
    <w:div w:id="397629135">
      <w:bodyDiv w:val="1"/>
      <w:marLeft w:val="0"/>
      <w:marRight w:val="0"/>
      <w:marTop w:val="0"/>
      <w:marBottom w:val="0"/>
      <w:divBdr>
        <w:top w:val="none" w:sz="0" w:space="0" w:color="auto"/>
        <w:left w:val="none" w:sz="0" w:space="0" w:color="auto"/>
        <w:bottom w:val="none" w:sz="0" w:space="0" w:color="auto"/>
        <w:right w:val="none" w:sz="0" w:space="0" w:color="auto"/>
      </w:divBdr>
    </w:div>
    <w:div w:id="411201709">
      <w:bodyDiv w:val="1"/>
      <w:marLeft w:val="0"/>
      <w:marRight w:val="0"/>
      <w:marTop w:val="0"/>
      <w:marBottom w:val="0"/>
      <w:divBdr>
        <w:top w:val="none" w:sz="0" w:space="0" w:color="auto"/>
        <w:left w:val="none" w:sz="0" w:space="0" w:color="auto"/>
        <w:bottom w:val="none" w:sz="0" w:space="0" w:color="auto"/>
        <w:right w:val="none" w:sz="0" w:space="0" w:color="auto"/>
      </w:divBdr>
    </w:div>
    <w:div w:id="426586069">
      <w:bodyDiv w:val="1"/>
      <w:marLeft w:val="0"/>
      <w:marRight w:val="0"/>
      <w:marTop w:val="0"/>
      <w:marBottom w:val="0"/>
      <w:divBdr>
        <w:top w:val="none" w:sz="0" w:space="0" w:color="auto"/>
        <w:left w:val="none" w:sz="0" w:space="0" w:color="auto"/>
        <w:bottom w:val="none" w:sz="0" w:space="0" w:color="auto"/>
        <w:right w:val="none" w:sz="0" w:space="0" w:color="auto"/>
      </w:divBdr>
    </w:div>
    <w:div w:id="430974130">
      <w:bodyDiv w:val="1"/>
      <w:marLeft w:val="0"/>
      <w:marRight w:val="0"/>
      <w:marTop w:val="0"/>
      <w:marBottom w:val="0"/>
      <w:divBdr>
        <w:top w:val="none" w:sz="0" w:space="0" w:color="auto"/>
        <w:left w:val="none" w:sz="0" w:space="0" w:color="auto"/>
        <w:bottom w:val="none" w:sz="0" w:space="0" w:color="auto"/>
        <w:right w:val="none" w:sz="0" w:space="0" w:color="auto"/>
      </w:divBdr>
    </w:div>
    <w:div w:id="445274600">
      <w:bodyDiv w:val="1"/>
      <w:marLeft w:val="0"/>
      <w:marRight w:val="0"/>
      <w:marTop w:val="0"/>
      <w:marBottom w:val="0"/>
      <w:divBdr>
        <w:top w:val="none" w:sz="0" w:space="0" w:color="auto"/>
        <w:left w:val="none" w:sz="0" w:space="0" w:color="auto"/>
        <w:bottom w:val="none" w:sz="0" w:space="0" w:color="auto"/>
        <w:right w:val="none" w:sz="0" w:space="0" w:color="auto"/>
      </w:divBdr>
    </w:div>
    <w:div w:id="447895207">
      <w:bodyDiv w:val="1"/>
      <w:marLeft w:val="0"/>
      <w:marRight w:val="0"/>
      <w:marTop w:val="0"/>
      <w:marBottom w:val="0"/>
      <w:divBdr>
        <w:top w:val="none" w:sz="0" w:space="0" w:color="auto"/>
        <w:left w:val="none" w:sz="0" w:space="0" w:color="auto"/>
        <w:bottom w:val="none" w:sz="0" w:space="0" w:color="auto"/>
        <w:right w:val="none" w:sz="0" w:space="0" w:color="auto"/>
      </w:divBdr>
    </w:div>
    <w:div w:id="481237760">
      <w:bodyDiv w:val="1"/>
      <w:marLeft w:val="0"/>
      <w:marRight w:val="0"/>
      <w:marTop w:val="0"/>
      <w:marBottom w:val="0"/>
      <w:divBdr>
        <w:top w:val="none" w:sz="0" w:space="0" w:color="auto"/>
        <w:left w:val="none" w:sz="0" w:space="0" w:color="auto"/>
        <w:bottom w:val="none" w:sz="0" w:space="0" w:color="auto"/>
        <w:right w:val="none" w:sz="0" w:space="0" w:color="auto"/>
      </w:divBdr>
    </w:div>
    <w:div w:id="518160155">
      <w:bodyDiv w:val="1"/>
      <w:marLeft w:val="0"/>
      <w:marRight w:val="0"/>
      <w:marTop w:val="0"/>
      <w:marBottom w:val="0"/>
      <w:divBdr>
        <w:top w:val="none" w:sz="0" w:space="0" w:color="auto"/>
        <w:left w:val="none" w:sz="0" w:space="0" w:color="auto"/>
        <w:bottom w:val="none" w:sz="0" w:space="0" w:color="auto"/>
        <w:right w:val="none" w:sz="0" w:space="0" w:color="auto"/>
      </w:divBdr>
    </w:div>
    <w:div w:id="552624347">
      <w:bodyDiv w:val="1"/>
      <w:marLeft w:val="0"/>
      <w:marRight w:val="0"/>
      <w:marTop w:val="0"/>
      <w:marBottom w:val="0"/>
      <w:divBdr>
        <w:top w:val="none" w:sz="0" w:space="0" w:color="auto"/>
        <w:left w:val="none" w:sz="0" w:space="0" w:color="auto"/>
        <w:bottom w:val="none" w:sz="0" w:space="0" w:color="auto"/>
        <w:right w:val="none" w:sz="0" w:space="0" w:color="auto"/>
      </w:divBdr>
    </w:div>
    <w:div w:id="627468629">
      <w:bodyDiv w:val="1"/>
      <w:marLeft w:val="0"/>
      <w:marRight w:val="0"/>
      <w:marTop w:val="0"/>
      <w:marBottom w:val="0"/>
      <w:divBdr>
        <w:top w:val="none" w:sz="0" w:space="0" w:color="auto"/>
        <w:left w:val="none" w:sz="0" w:space="0" w:color="auto"/>
        <w:bottom w:val="none" w:sz="0" w:space="0" w:color="auto"/>
        <w:right w:val="none" w:sz="0" w:space="0" w:color="auto"/>
      </w:divBdr>
    </w:div>
    <w:div w:id="646978173">
      <w:bodyDiv w:val="1"/>
      <w:marLeft w:val="0"/>
      <w:marRight w:val="0"/>
      <w:marTop w:val="0"/>
      <w:marBottom w:val="0"/>
      <w:divBdr>
        <w:top w:val="none" w:sz="0" w:space="0" w:color="auto"/>
        <w:left w:val="none" w:sz="0" w:space="0" w:color="auto"/>
        <w:bottom w:val="none" w:sz="0" w:space="0" w:color="auto"/>
        <w:right w:val="none" w:sz="0" w:space="0" w:color="auto"/>
      </w:divBdr>
    </w:div>
    <w:div w:id="649014941">
      <w:bodyDiv w:val="1"/>
      <w:marLeft w:val="0"/>
      <w:marRight w:val="0"/>
      <w:marTop w:val="0"/>
      <w:marBottom w:val="0"/>
      <w:divBdr>
        <w:top w:val="none" w:sz="0" w:space="0" w:color="auto"/>
        <w:left w:val="none" w:sz="0" w:space="0" w:color="auto"/>
        <w:bottom w:val="none" w:sz="0" w:space="0" w:color="auto"/>
        <w:right w:val="none" w:sz="0" w:space="0" w:color="auto"/>
      </w:divBdr>
    </w:div>
    <w:div w:id="677925768">
      <w:bodyDiv w:val="1"/>
      <w:marLeft w:val="0"/>
      <w:marRight w:val="0"/>
      <w:marTop w:val="0"/>
      <w:marBottom w:val="0"/>
      <w:divBdr>
        <w:top w:val="none" w:sz="0" w:space="0" w:color="auto"/>
        <w:left w:val="none" w:sz="0" w:space="0" w:color="auto"/>
        <w:bottom w:val="none" w:sz="0" w:space="0" w:color="auto"/>
        <w:right w:val="none" w:sz="0" w:space="0" w:color="auto"/>
      </w:divBdr>
    </w:div>
    <w:div w:id="696196484">
      <w:bodyDiv w:val="1"/>
      <w:marLeft w:val="0"/>
      <w:marRight w:val="0"/>
      <w:marTop w:val="0"/>
      <w:marBottom w:val="0"/>
      <w:divBdr>
        <w:top w:val="none" w:sz="0" w:space="0" w:color="auto"/>
        <w:left w:val="none" w:sz="0" w:space="0" w:color="auto"/>
        <w:bottom w:val="none" w:sz="0" w:space="0" w:color="auto"/>
        <w:right w:val="none" w:sz="0" w:space="0" w:color="auto"/>
      </w:divBdr>
    </w:div>
    <w:div w:id="717246002">
      <w:bodyDiv w:val="1"/>
      <w:marLeft w:val="0"/>
      <w:marRight w:val="0"/>
      <w:marTop w:val="0"/>
      <w:marBottom w:val="0"/>
      <w:divBdr>
        <w:top w:val="none" w:sz="0" w:space="0" w:color="auto"/>
        <w:left w:val="none" w:sz="0" w:space="0" w:color="auto"/>
        <w:bottom w:val="none" w:sz="0" w:space="0" w:color="auto"/>
        <w:right w:val="none" w:sz="0" w:space="0" w:color="auto"/>
      </w:divBdr>
    </w:div>
    <w:div w:id="718479281">
      <w:bodyDiv w:val="1"/>
      <w:marLeft w:val="0"/>
      <w:marRight w:val="0"/>
      <w:marTop w:val="0"/>
      <w:marBottom w:val="0"/>
      <w:divBdr>
        <w:top w:val="none" w:sz="0" w:space="0" w:color="auto"/>
        <w:left w:val="none" w:sz="0" w:space="0" w:color="auto"/>
        <w:bottom w:val="none" w:sz="0" w:space="0" w:color="auto"/>
        <w:right w:val="none" w:sz="0" w:space="0" w:color="auto"/>
      </w:divBdr>
    </w:div>
    <w:div w:id="749736796">
      <w:bodyDiv w:val="1"/>
      <w:marLeft w:val="0"/>
      <w:marRight w:val="0"/>
      <w:marTop w:val="0"/>
      <w:marBottom w:val="0"/>
      <w:divBdr>
        <w:top w:val="none" w:sz="0" w:space="0" w:color="auto"/>
        <w:left w:val="none" w:sz="0" w:space="0" w:color="auto"/>
        <w:bottom w:val="none" w:sz="0" w:space="0" w:color="auto"/>
        <w:right w:val="none" w:sz="0" w:space="0" w:color="auto"/>
      </w:divBdr>
    </w:div>
    <w:div w:id="755630833">
      <w:bodyDiv w:val="1"/>
      <w:marLeft w:val="0"/>
      <w:marRight w:val="0"/>
      <w:marTop w:val="0"/>
      <w:marBottom w:val="0"/>
      <w:divBdr>
        <w:top w:val="none" w:sz="0" w:space="0" w:color="auto"/>
        <w:left w:val="none" w:sz="0" w:space="0" w:color="auto"/>
        <w:bottom w:val="none" w:sz="0" w:space="0" w:color="auto"/>
        <w:right w:val="none" w:sz="0" w:space="0" w:color="auto"/>
      </w:divBdr>
    </w:div>
    <w:div w:id="768619778">
      <w:bodyDiv w:val="1"/>
      <w:marLeft w:val="0"/>
      <w:marRight w:val="0"/>
      <w:marTop w:val="0"/>
      <w:marBottom w:val="0"/>
      <w:divBdr>
        <w:top w:val="none" w:sz="0" w:space="0" w:color="auto"/>
        <w:left w:val="none" w:sz="0" w:space="0" w:color="auto"/>
        <w:bottom w:val="none" w:sz="0" w:space="0" w:color="auto"/>
        <w:right w:val="none" w:sz="0" w:space="0" w:color="auto"/>
      </w:divBdr>
    </w:div>
    <w:div w:id="804544273">
      <w:bodyDiv w:val="1"/>
      <w:marLeft w:val="0"/>
      <w:marRight w:val="0"/>
      <w:marTop w:val="0"/>
      <w:marBottom w:val="0"/>
      <w:divBdr>
        <w:top w:val="none" w:sz="0" w:space="0" w:color="auto"/>
        <w:left w:val="none" w:sz="0" w:space="0" w:color="auto"/>
        <w:bottom w:val="none" w:sz="0" w:space="0" w:color="auto"/>
        <w:right w:val="none" w:sz="0" w:space="0" w:color="auto"/>
      </w:divBdr>
    </w:div>
    <w:div w:id="817377190">
      <w:bodyDiv w:val="1"/>
      <w:marLeft w:val="0"/>
      <w:marRight w:val="0"/>
      <w:marTop w:val="0"/>
      <w:marBottom w:val="0"/>
      <w:divBdr>
        <w:top w:val="none" w:sz="0" w:space="0" w:color="auto"/>
        <w:left w:val="none" w:sz="0" w:space="0" w:color="auto"/>
        <w:bottom w:val="none" w:sz="0" w:space="0" w:color="auto"/>
        <w:right w:val="none" w:sz="0" w:space="0" w:color="auto"/>
      </w:divBdr>
    </w:div>
    <w:div w:id="819076180">
      <w:bodyDiv w:val="1"/>
      <w:marLeft w:val="0"/>
      <w:marRight w:val="0"/>
      <w:marTop w:val="0"/>
      <w:marBottom w:val="0"/>
      <w:divBdr>
        <w:top w:val="none" w:sz="0" w:space="0" w:color="auto"/>
        <w:left w:val="none" w:sz="0" w:space="0" w:color="auto"/>
        <w:bottom w:val="none" w:sz="0" w:space="0" w:color="auto"/>
        <w:right w:val="none" w:sz="0" w:space="0" w:color="auto"/>
      </w:divBdr>
    </w:div>
    <w:div w:id="819232349">
      <w:bodyDiv w:val="1"/>
      <w:marLeft w:val="0"/>
      <w:marRight w:val="0"/>
      <w:marTop w:val="0"/>
      <w:marBottom w:val="0"/>
      <w:divBdr>
        <w:top w:val="none" w:sz="0" w:space="0" w:color="auto"/>
        <w:left w:val="none" w:sz="0" w:space="0" w:color="auto"/>
        <w:bottom w:val="none" w:sz="0" w:space="0" w:color="auto"/>
        <w:right w:val="none" w:sz="0" w:space="0" w:color="auto"/>
      </w:divBdr>
    </w:div>
    <w:div w:id="826284172">
      <w:bodyDiv w:val="1"/>
      <w:marLeft w:val="0"/>
      <w:marRight w:val="0"/>
      <w:marTop w:val="0"/>
      <w:marBottom w:val="0"/>
      <w:divBdr>
        <w:top w:val="none" w:sz="0" w:space="0" w:color="auto"/>
        <w:left w:val="none" w:sz="0" w:space="0" w:color="auto"/>
        <w:bottom w:val="none" w:sz="0" w:space="0" w:color="auto"/>
        <w:right w:val="none" w:sz="0" w:space="0" w:color="auto"/>
      </w:divBdr>
    </w:div>
    <w:div w:id="827400162">
      <w:bodyDiv w:val="1"/>
      <w:marLeft w:val="0"/>
      <w:marRight w:val="0"/>
      <w:marTop w:val="0"/>
      <w:marBottom w:val="0"/>
      <w:divBdr>
        <w:top w:val="none" w:sz="0" w:space="0" w:color="auto"/>
        <w:left w:val="none" w:sz="0" w:space="0" w:color="auto"/>
        <w:bottom w:val="none" w:sz="0" w:space="0" w:color="auto"/>
        <w:right w:val="none" w:sz="0" w:space="0" w:color="auto"/>
      </w:divBdr>
    </w:div>
    <w:div w:id="830877937">
      <w:bodyDiv w:val="1"/>
      <w:marLeft w:val="0"/>
      <w:marRight w:val="0"/>
      <w:marTop w:val="0"/>
      <w:marBottom w:val="0"/>
      <w:divBdr>
        <w:top w:val="none" w:sz="0" w:space="0" w:color="auto"/>
        <w:left w:val="none" w:sz="0" w:space="0" w:color="auto"/>
        <w:bottom w:val="none" w:sz="0" w:space="0" w:color="auto"/>
        <w:right w:val="none" w:sz="0" w:space="0" w:color="auto"/>
      </w:divBdr>
    </w:div>
    <w:div w:id="873351216">
      <w:bodyDiv w:val="1"/>
      <w:marLeft w:val="0"/>
      <w:marRight w:val="0"/>
      <w:marTop w:val="0"/>
      <w:marBottom w:val="0"/>
      <w:divBdr>
        <w:top w:val="none" w:sz="0" w:space="0" w:color="auto"/>
        <w:left w:val="none" w:sz="0" w:space="0" w:color="auto"/>
        <w:bottom w:val="none" w:sz="0" w:space="0" w:color="auto"/>
        <w:right w:val="none" w:sz="0" w:space="0" w:color="auto"/>
      </w:divBdr>
    </w:div>
    <w:div w:id="899755213">
      <w:bodyDiv w:val="1"/>
      <w:marLeft w:val="0"/>
      <w:marRight w:val="0"/>
      <w:marTop w:val="0"/>
      <w:marBottom w:val="0"/>
      <w:divBdr>
        <w:top w:val="none" w:sz="0" w:space="0" w:color="auto"/>
        <w:left w:val="none" w:sz="0" w:space="0" w:color="auto"/>
        <w:bottom w:val="none" w:sz="0" w:space="0" w:color="auto"/>
        <w:right w:val="none" w:sz="0" w:space="0" w:color="auto"/>
      </w:divBdr>
    </w:div>
    <w:div w:id="942492346">
      <w:bodyDiv w:val="1"/>
      <w:marLeft w:val="0"/>
      <w:marRight w:val="0"/>
      <w:marTop w:val="0"/>
      <w:marBottom w:val="0"/>
      <w:divBdr>
        <w:top w:val="none" w:sz="0" w:space="0" w:color="auto"/>
        <w:left w:val="none" w:sz="0" w:space="0" w:color="auto"/>
        <w:bottom w:val="none" w:sz="0" w:space="0" w:color="auto"/>
        <w:right w:val="none" w:sz="0" w:space="0" w:color="auto"/>
      </w:divBdr>
    </w:div>
    <w:div w:id="944339434">
      <w:bodyDiv w:val="1"/>
      <w:marLeft w:val="0"/>
      <w:marRight w:val="0"/>
      <w:marTop w:val="0"/>
      <w:marBottom w:val="0"/>
      <w:divBdr>
        <w:top w:val="none" w:sz="0" w:space="0" w:color="auto"/>
        <w:left w:val="none" w:sz="0" w:space="0" w:color="auto"/>
        <w:bottom w:val="none" w:sz="0" w:space="0" w:color="auto"/>
        <w:right w:val="none" w:sz="0" w:space="0" w:color="auto"/>
      </w:divBdr>
    </w:div>
    <w:div w:id="968627459">
      <w:bodyDiv w:val="1"/>
      <w:marLeft w:val="0"/>
      <w:marRight w:val="0"/>
      <w:marTop w:val="0"/>
      <w:marBottom w:val="0"/>
      <w:divBdr>
        <w:top w:val="none" w:sz="0" w:space="0" w:color="auto"/>
        <w:left w:val="none" w:sz="0" w:space="0" w:color="auto"/>
        <w:bottom w:val="none" w:sz="0" w:space="0" w:color="auto"/>
        <w:right w:val="none" w:sz="0" w:space="0" w:color="auto"/>
      </w:divBdr>
    </w:div>
    <w:div w:id="977615523">
      <w:bodyDiv w:val="1"/>
      <w:marLeft w:val="0"/>
      <w:marRight w:val="0"/>
      <w:marTop w:val="0"/>
      <w:marBottom w:val="0"/>
      <w:divBdr>
        <w:top w:val="none" w:sz="0" w:space="0" w:color="auto"/>
        <w:left w:val="none" w:sz="0" w:space="0" w:color="auto"/>
        <w:bottom w:val="none" w:sz="0" w:space="0" w:color="auto"/>
        <w:right w:val="none" w:sz="0" w:space="0" w:color="auto"/>
      </w:divBdr>
    </w:div>
    <w:div w:id="986009297">
      <w:bodyDiv w:val="1"/>
      <w:marLeft w:val="0"/>
      <w:marRight w:val="0"/>
      <w:marTop w:val="0"/>
      <w:marBottom w:val="0"/>
      <w:divBdr>
        <w:top w:val="none" w:sz="0" w:space="0" w:color="auto"/>
        <w:left w:val="none" w:sz="0" w:space="0" w:color="auto"/>
        <w:bottom w:val="none" w:sz="0" w:space="0" w:color="auto"/>
        <w:right w:val="none" w:sz="0" w:space="0" w:color="auto"/>
      </w:divBdr>
    </w:div>
    <w:div w:id="994459147">
      <w:bodyDiv w:val="1"/>
      <w:marLeft w:val="0"/>
      <w:marRight w:val="0"/>
      <w:marTop w:val="0"/>
      <w:marBottom w:val="0"/>
      <w:divBdr>
        <w:top w:val="none" w:sz="0" w:space="0" w:color="auto"/>
        <w:left w:val="none" w:sz="0" w:space="0" w:color="auto"/>
        <w:bottom w:val="none" w:sz="0" w:space="0" w:color="auto"/>
        <w:right w:val="none" w:sz="0" w:space="0" w:color="auto"/>
      </w:divBdr>
    </w:div>
    <w:div w:id="1063140283">
      <w:bodyDiv w:val="1"/>
      <w:marLeft w:val="0"/>
      <w:marRight w:val="0"/>
      <w:marTop w:val="0"/>
      <w:marBottom w:val="0"/>
      <w:divBdr>
        <w:top w:val="none" w:sz="0" w:space="0" w:color="auto"/>
        <w:left w:val="none" w:sz="0" w:space="0" w:color="auto"/>
        <w:bottom w:val="none" w:sz="0" w:space="0" w:color="auto"/>
        <w:right w:val="none" w:sz="0" w:space="0" w:color="auto"/>
      </w:divBdr>
    </w:div>
    <w:div w:id="1090153832">
      <w:bodyDiv w:val="1"/>
      <w:marLeft w:val="0"/>
      <w:marRight w:val="0"/>
      <w:marTop w:val="0"/>
      <w:marBottom w:val="0"/>
      <w:divBdr>
        <w:top w:val="none" w:sz="0" w:space="0" w:color="auto"/>
        <w:left w:val="none" w:sz="0" w:space="0" w:color="auto"/>
        <w:bottom w:val="none" w:sz="0" w:space="0" w:color="auto"/>
        <w:right w:val="none" w:sz="0" w:space="0" w:color="auto"/>
      </w:divBdr>
    </w:div>
    <w:div w:id="1133477347">
      <w:bodyDiv w:val="1"/>
      <w:marLeft w:val="0"/>
      <w:marRight w:val="0"/>
      <w:marTop w:val="0"/>
      <w:marBottom w:val="0"/>
      <w:divBdr>
        <w:top w:val="none" w:sz="0" w:space="0" w:color="auto"/>
        <w:left w:val="none" w:sz="0" w:space="0" w:color="auto"/>
        <w:bottom w:val="none" w:sz="0" w:space="0" w:color="auto"/>
        <w:right w:val="none" w:sz="0" w:space="0" w:color="auto"/>
      </w:divBdr>
    </w:div>
    <w:div w:id="1170363515">
      <w:bodyDiv w:val="1"/>
      <w:marLeft w:val="0"/>
      <w:marRight w:val="0"/>
      <w:marTop w:val="0"/>
      <w:marBottom w:val="0"/>
      <w:divBdr>
        <w:top w:val="none" w:sz="0" w:space="0" w:color="auto"/>
        <w:left w:val="none" w:sz="0" w:space="0" w:color="auto"/>
        <w:bottom w:val="none" w:sz="0" w:space="0" w:color="auto"/>
        <w:right w:val="none" w:sz="0" w:space="0" w:color="auto"/>
      </w:divBdr>
    </w:div>
    <w:div w:id="1177698154">
      <w:bodyDiv w:val="1"/>
      <w:marLeft w:val="0"/>
      <w:marRight w:val="0"/>
      <w:marTop w:val="0"/>
      <w:marBottom w:val="0"/>
      <w:divBdr>
        <w:top w:val="none" w:sz="0" w:space="0" w:color="auto"/>
        <w:left w:val="none" w:sz="0" w:space="0" w:color="auto"/>
        <w:bottom w:val="none" w:sz="0" w:space="0" w:color="auto"/>
        <w:right w:val="none" w:sz="0" w:space="0" w:color="auto"/>
      </w:divBdr>
    </w:div>
    <w:div w:id="1190724346">
      <w:bodyDiv w:val="1"/>
      <w:marLeft w:val="0"/>
      <w:marRight w:val="0"/>
      <w:marTop w:val="0"/>
      <w:marBottom w:val="0"/>
      <w:divBdr>
        <w:top w:val="none" w:sz="0" w:space="0" w:color="auto"/>
        <w:left w:val="none" w:sz="0" w:space="0" w:color="auto"/>
        <w:bottom w:val="none" w:sz="0" w:space="0" w:color="auto"/>
        <w:right w:val="none" w:sz="0" w:space="0" w:color="auto"/>
      </w:divBdr>
    </w:div>
    <w:div w:id="1221937267">
      <w:bodyDiv w:val="1"/>
      <w:marLeft w:val="0"/>
      <w:marRight w:val="0"/>
      <w:marTop w:val="0"/>
      <w:marBottom w:val="0"/>
      <w:divBdr>
        <w:top w:val="none" w:sz="0" w:space="0" w:color="auto"/>
        <w:left w:val="none" w:sz="0" w:space="0" w:color="auto"/>
        <w:bottom w:val="none" w:sz="0" w:space="0" w:color="auto"/>
        <w:right w:val="none" w:sz="0" w:space="0" w:color="auto"/>
      </w:divBdr>
    </w:div>
    <w:div w:id="1228496470">
      <w:bodyDiv w:val="1"/>
      <w:marLeft w:val="0"/>
      <w:marRight w:val="0"/>
      <w:marTop w:val="0"/>
      <w:marBottom w:val="0"/>
      <w:divBdr>
        <w:top w:val="none" w:sz="0" w:space="0" w:color="auto"/>
        <w:left w:val="none" w:sz="0" w:space="0" w:color="auto"/>
        <w:bottom w:val="none" w:sz="0" w:space="0" w:color="auto"/>
        <w:right w:val="none" w:sz="0" w:space="0" w:color="auto"/>
      </w:divBdr>
    </w:div>
    <w:div w:id="1279142691">
      <w:bodyDiv w:val="1"/>
      <w:marLeft w:val="0"/>
      <w:marRight w:val="0"/>
      <w:marTop w:val="0"/>
      <w:marBottom w:val="0"/>
      <w:divBdr>
        <w:top w:val="none" w:sz="0" w:space="0" w:color="auto"/>
        <w:left w:val="none" w:sz="0" w:space="0" w:color="auto"/>
        <w:bottom w:val="none" w:sz="0" w:space="0" w:color="auto"/>
        <w:right w:val="none" w:sz="0" w:space="0" w:color="auto"/>
      </w:divBdr>
    </w:div>
    <w:div w:id="1296909620">
      <w:bodyDiv w:val="1"/>
      <w:marLeft w:val="0"/>
      <w:marRight w:val="0"/>
      <w:marTop w:val="0"/>
      <w:marBottom w:val="0"/>
      <w:divBdr>
        <w:top w:val="none" w:sz="0" w:space="0" w:color="auto"/>
        <w:left w:val="none" w:sz="0" w:space="0" w:color="auto"/>
        <w:bottom w:val="none" w:sz="0" w:space="0" w:color="auto"/>
        <w:right w:val="none" w:sz="0" w:space="0" w:color="auto"/>
      </w:divBdr>
    </w:div>
    <w:div w:id="1309893561">
      <w:bodyDiv w:val="1"/>
      <w:marLeft w:val="0"/>
      <w:marRight w:val="0"/>
      <w:marTop w:val="0"/>
      <w:marBottom w:val="0"/>
      <w:divBdr>
        <w:top w:val="none" w:sz="0" w:space="0" w:color="auto"/>
        <w:left w:val="none" w:sz="0" w:space="0" w:color="auto"/>
        <w:bottom w:val="none" w:sz="0" w:space="0" w:color="auto"/>
        <w:right w:val="none" w:sz="0" w:space="0" w:color="auto"/>
      </w:divBdr>
    </w:div>
    <w:div w:id="1315599306">
      <w:bodyDiv w:val="1"/>
      <w:marLeft w:val="0"/>
      <w:marRight w:val="0"/>
      <w:marTop w:val="0"/>
      <w:marBottom w:val="0"/>
      <w:divBdr>
        <w:top w:val="none" w:sz="0" w:space="0" w:color="auto"/>
        <w:left w:val="none" w:sz="0" w:space="0" w:color="auto"/>
        <w:bottom w:val="none" w:sz="0" w:space="0" w:color="auto"/>
        <w:right w:val="none" w:sz="0" w:space="0" w:color="auto"/>
      </w:divBdr>
    </w:div>
    <w:div w:id="1371299827">
      <w:bodyDiv w:val="1"/>
      <w:marLeft w:val="0"/>
      <w:marRight w:val="0"/>
      <w:marTop w:val="0"/>
      <w:marBottom w:val="0"/>
      <w:divBdr>
        <w:top w:val="none" w:sz="0" w:space="0" w:color="auto"/>
        <w:left w:val="none" w:sz="0" w:space="0" w:color="auto"/>
        <w:bottom w:val="none" w:sz="0" w:space="0" w:color="auto"/>
        <w:right w:val="none" w:sz="0" w:space="0" w:color="auto"/>
      </w:divBdr>
    </w:div>
    <w:div w:id="1382317590">
      <w:bodyDiv w:val="1"/>
      <w:marLeft w:val="0"/>
      <w:marRight w:val="0"/>
      <w:marTop w:val="0"/>
      <w:marBottom w:val="0"/>
      <w:divBdr>
        <w:top w:val="none" w:sz="0" w:space="0" w:color="auto"/>
        <w:left w:val="none" w:sz="0" w:space="0" w:color="auto"/>
        <w:bottom w:val="none" w:sz="0" w:space="0" w:color="auto"/>
        <w:right w:val="none" w:sz="0" w:space="0" w:color="auto"/>
      </w:divBdr>
    </w:div>
    <w:div w:id="1402481860">
      <w:bodyDiv w:val="1"/>
      <w:marLeft w:val="0"/>
      <w:marRight w:val="0"/>
      <w:marTop w:val="0"/>
      <w:marBottom w:val="0"/>
      <w:divBdr>
        <w:top w:val="none" w:sz="0" w:space="0" w:color="auto"/>
        <w:left w:val="none" w:sz="0" w:space="0" w:color="auto"/>
        <w:bottom w:val="none" w:sz="0" w:space="0" w:color="auto"/>
        <w:right w:val="none" w:sz="0" w:space="0" w:color="auto"/>
      </w:divBdr>
    </w:div>
    <w:div w:id="1432973455">
      <w:bodyDiv w:val="1"/>
      <w:marLeft w:val="0"/>
      <w:marRight w:val="0"/>
      <w:marTop w:val="0"/>
      <w:marBottom w:val="0"/>
      <w:divBdr>
        <w:top w:val="none" w:sz="0" w:space="0" w:color="auto"/>
        <w:left w:val="none" w:sz="0" w:space="0" w:color="auto"/>
        <w:bottom w:val="none" w:sz="0" w:space="0" w:color="auto"/>
        <w:right w:val="none" w:sz="0" w:space="0" w:color="auto"/>
      </w:divBdr>
    </w:div>
    <w:div w:id="1539001371">
      <w:bodyDiv w:val="1"/>
      <w:marLeft w:val="0"/>
      <w:marRight w:val="0"/>
      <w:marTop w:val="0"/>
      <w:marBottom w:val="0"/>
      <w:divBdr>
        <w:top w:val="none" w:sz="0" w:space="0" w:color="auto"/>
        <w:left w:val="none" w:sz="0" w:space="0" w:color="auto"/>
        <w:bottom w:val="none" w:sz="0" w:space="0" w:color="auto"/>
        <w:right w:val="none" w:sz="0" w:space="0" w:color="auto"/>
      </w:divBdr>
    </w:div>
    <w:div w:id="1544244288">
      <w:bodyDiv w:val="1"/>
      <w:marLeft w:val="0"/>
      <w:marRight w:val="0"/>
      <w:marTop w:val="0"/>
      <w:marBottom w:val="0"/>
      <w:divBdr>
        <w:top w:val="none" w:sz="0" w:space="0" w:color="auto"/>
        <w:left w:val="none" w:sz="0" w:space="0" w:color="auto"/>
        <w:bottom w:val="none" w:sz="0" w:space="0" w:color="auto"/>
        <w:right w:val="none" w:sz="0" w:space="0" w:color="auto"/>
      </w:divBdr>
    </w:div>
    <w:div w:id="1572615067">
      <w:bodyDiv w:val="1"/>
      <w:marLeft w:val="0"/>
      <w:marRight w:val="0"/>
      <w:marTop w:val="0"/>
      <w:marBottom w:val="0"/>
      <w:divBdr>
        <w:top w:val="none" w:sz="0" w:space="0" w:color="auto"/>
        <w:left w:val="none" w:sz="0" w:space="0" w:color="auto"/>
        <w:bottom w:val="none" w:sz="0" w:space="0" w:color="auto"/>
        <w:right w:val="none" w:sz="0" w:space="0" w:color="auto"/>
      </w:divBdr>
    </w:div>
    <w:div w:id="1589459180">
      <w:bodyDiv w:val="1"/>
      <w:marLeft w:val="0"/>
      <w:marRight w:val="0"/>
      <w:marTop w:val="0"/>
      <w:marBottom w:val="0"/>
      <w:divBdr>
        <w:top w:val="none" w:sz="0" w:space="0" w:color="auto"/>
        <w:left w:val="none" w:sz="0" w:space="0" w:color="auto"/>
        <w:bottom w:val="none" w:sz="0" w:space="0" w:color="auto"/>
        <w:right w:val="none" w:sz="0" w:space="0" w:color="auto"/>
      </w:divBdr>
    </w:div>
    <w:div w:id="1595628483">
      <w:bodyDiv w:val="1"/>
      <w:marLeft w:val="0"/>
      <w:marRight w:val="0"/>
      <w:marTop w:val="0"/>
      <w:marBottom w:val="0"/>
      <w:divBdr>
        <w:top w:val="none" w:sz="0" w:space="0" w:color="auto"/>
        <w:left w:val="none" w:sz="0" w:space="0" w:color="auto"/>
        <w:bottom w:val="none" w:sz="0" w:space="0" w:color="auto"/>
        <w:right w:val="none" w:sz="0" w:space="0" w:color="auto"/>
      </w:divBdr>
    </w:div>
    <w:div w:id="1597785723">
      <w:bodyDiv w:val="1"/>
      <w:marLeft w:val="0"/>
      <w:marRight w:val="0"/>
      <w:marTop w:val="0"/>
      <w:marBottom w:val="0"/>
      <w:divBdr>
        <w:top w:val="none" w:sz="0" w:space="0" w:color="auto"/>
        <w:left w:val="none" w:sz="0" w:space="0" w:color="auto"/>
        <w:bottom w:val="none" w:sz="0" w:space="0" w:color="auto"/>
        <w:right w:val="none" w:sz="0" w:space="0" w:color="auto"/>
      </w:divBdr>
    </w:div>
    <w:div w:id="1612468902">
      <w:bodyDiv w:val="1"/>
      <w:marLeft w:val="0"/>
      <w:marRight w:val="0"/>
      <w:marTop w:val="0"/>
      <w:marBottom w:val="0"/>
      <w:divBdr>
        <w:top w:val="none" w:sz="0" w:space="0" w:color="auto"/>
        <w:left w:val="none" w:sz="0" w:space="0" w:color="auto"/>
        <w:bottom w:val="none" w:sz="0" w:space="0" w:color="auto"/>
        <w:right w:val="none" w:sz="0" w:space="0" w:color="auto"/>
      </w:divBdr>
    </w:div>
    <w:div w:id="1629778439">
      <w:bodyDiv w:val="1"/>
      <w:marLeft w:val="0"/>
      <w:marRight w:val="0"/>
      <w:marTop w:val="0"/>
      <w:marBottom w:val="0"/>
      <w:divBdr>
        <w:top w:val="none" w:sz="0" w:space="0" w:color="auto"/>
        <w:left w:val="none" w:sz="0" w:space="0" w:color="auto"/>
        <w:bottom w:val="none" w:sz="0" w:space="0" w:color="auto"/>
        <w:right w:val="none" w:sz="0" w:space="0" w:color="auto"/>
      </w:divBdr>
    </w:div>
    <w:div w:id="1647389428">
      <w:bodyDiv w:val="1"/>
      <w:marLeft w:val="0"/>
      <w:marRight w:val="0"/>
      <w:marTop w:val="0"/>
      <w:marBottom w:val="0"/>
      <w:divBdr>
        <w:top w:val="none" w:sz="0" w:space="0" w:color="auto"/>
        <w:left w:val="none" w:sz="0" w:space="0" w:color="auto"/>
        <w:bottom w:val="none" w:sz="0" w:space="0" w:color="auto"/>
        <w:right w:val="none" w:sz="0" w:space="0" w:color="auto"/>
      </w:divBdr>
    </w:div>
    <w:div w:id="1672097435">
      <w:bodyDiv w:val="1"/>
      <w:marLeft w:val="0"/>
      <w:marRight w:val="0"/>
      <w:marTop w:val="0"/>
      <w:marBottom w:val="0"/>
      <w:divBdr>
        <w:top w:val="none" w:sz="0" w:space="0" w:color="auto"/>
        <w:left w:val="none" w:sz="0" w:space="0" w:color="auto"/>
        <w:bottom w:val="none" w:sz="0" w:space="0" w:color="auto"/>
        <w:right w:val="none" w:sz="0" w:space="0" w:color="auto"/>
      </w:divBdr>
    </w:div>
    <w:div w:id="1673027870">
      <w:bodyDiv w:val="1"/>
      <w:marLeft w:val="0"/>
      <w:marRight w:val="0"/>
      <w:marTop w:val="0"/>
      <w:marBottom w:val="0"/>
      <w:divBdr>
        <w:top w:val="none" w:sz="0" w:space="0" w:color="auto"/>
        <w:left w:val="none" w:sz="0" w:space="0" w:color="auto"/>
        <w:bottom w:val="none" w:sz="0" w:space="0" w:color="auto"/>
        <w:right w:val="none" w:sz="0" w:space="0" w:color="auto"/>
      </w:divBdr>
    </w:div>
    <w:div w:id="1716537346">
      <w:bodyDiv w:val="1"/>
      <w:marLeft w:val="0"/>
      <w:marRight w:val="0"/>
      <w:marTop w:val="0"/>
      <w:marBottom w:val="0"/>
      <w:divBdr>
        <w:top w:val="none" w:sz="0" w:space="0" w:color="auto"/>
        <w:left w:val="none" w:sz="0" w:space="0" w:color="auto"/>
        <w:bottom w:val="none" w:sz="0" w:space="0" w:color="auto"/>
        <w:right w:val="none" w:sz="0" w:space="0" w:color="auto"/>
      </w:divBdr>
    </w:div>
    <w:div w:id="1727755980">
      <w:bodyDiv w:val="1"/>
      <w:marLeft w:val="0"/>
      <w:marRight w:val="0"/>
      <w:marTop w:val="0"/>
      <w:marBottom w:val="0"/>
      <w:divBdr>
        <w:top w:val="none" w:sz="0" w:space="0" w:color="auto"/>
        <w:left w:val="none" w:sz="0" w:space="0" w:color="auto"/>
        <w:bottom w:val="none" w:sz="0" w:space="0" w:color="auto"/>
        <w:right w:val="none" w:sz="0" w:space="0" w:color="auto"/>
      </w:divBdr>
    </w:div>
    <w:div w:id="1741175901">
      <w:bodyDiv w:val="1"/>
      <w:marLeft w:val="0"/>
      <w:marRight w:val="0"/>
      <w:marTop w:val="0"/>
      <w:marBottom w:val="0"/>
      <w:divBdr>
        <w:top w:val="none" w:sz="0" w:space="0" w:color="auto"/>
        <w:left w:val="none" w:sz="0" w:space="0" w:color="auto"/>
        <w:bottom w:val="none" w:sz="0" w:space="0" w:color="auto"/>
        <w:right w:val="none" w:sz="0" w:space="0" w:color="auto"/>
      </w:divBdr>
    </w:div>
    <w:div w:id="1752317273">
      <w:bodyDiv w:val="1"/>
      <w:marLeft w:val="0"/>
      <w:marRight w:val="0"/>
      <w:marTop w:val="0"/>
      <w:marBottom w:val="0"/>
      <w:divBdr>
        <w:top w:val="none" w:sz="0" w:space="0" w:color="auto"/>
        <w:left w:val="none" w:sz="0" w:space="0" w:color="auto"/>
        <w:bottom w:val="none" w:sz="0" w:space="0" w:color="auto"/>
        <w:right w:val="none" w:sz="0" w:space="0" w:color="auto"/>
      </w:divBdr>
    </w:div>
    <w:div w:id="1759400441">
      <w:bodyDiv w:val="1"/>
      <w:marLeft w:val="0"/>
      <w:marRight w:val="0"/>
      <w:marTop w:val="0"/>
      <w:marBottom w:val="0"/>
      <w:divBdr>
        <w:top w:val="none" w:sz="0" w:space="0" w:color="auto"/>
        <w:left w:val="none" w:sz="0" w:space="0" w:color="auto"/>
        <w:bottom w:val="none" w:sz="0" w:space="0" w:color="auto"/>
        <w:right w:val="none" w:sz="0" w:space="0" w:color="auto"/>
      </w:divBdr>
    </w:div>
    <w:div w:id="1787893811">
      <w:bodyDiv w:val="1"/>
      <w:marLeft w:val="0"/>
      <w:marRight w:val="0"/>
      <w:marTop w:val="0"/>
      <w:marBottom w:val="0"/>
      <w:divBdr>
        <w:top w:val="none" w:sz="0" w:space="0" w:color="auto"/>
        <w:left w:val="none" w:sz="0" w:space="0" w:color="auto"/>
        <w:bottom w:val="none" w:sz="0" w:space="0" w:color="auto"/>
        <w:right w:val="none" w:sz="0" w:space="0" w:color="auto"/>
      </w:divBdr>
    </w:div>
    <w:div w:id="1794207011">
      <w:bodyDiv w:val="1"/>
      <w:marLeft w:val="0"/>
      <w:marRight w:val="0"/>
      <w:marTop w:val="0"/>
      <w:marBottom w:val="0"/>
      <w:divBdr>
        <w:top w:val="none" w:sz="0" w:space="0" w:color="auto"/>
        <w:left w:val="none" w:sz="0" w:space="0" w:color="auto"/>
        <w:bottom w:val="none" w:sz="0" w:space="0" w:color="auto"/>
        <w:right w:val="none" w:sz="0" w:space="0" w:color="auto"/>
      </w:divBdr>
    </w:div>
    <w:div w:id="1806771668">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87139321">
      <w:bodyDiv w:val="1"/>
      <w:marLeft w:val="0"/>
      <w:marRight w:val="0"/>
      <w:marTop w:val="0"/>
      <w:marBottom w:val="0"/>
      <w:divBdr>
        <w:top w:val="none" w:sz="0" w:space="0" w:color="auto"/>
        <w:left w:val="none" w:sz="0" w:space="0" w:color="auto"/>
        <w:bottom w:val="none" w:sz="0" w:space="0" w:color="auto"/>
        <w:right w:val="none" w:sz="0" w:space="0" w:color="auto"/>
      </w:divBdr>
    </w:div>
    <w:div w:id="1898517750">
      <w:bodyDiv w:val="1"/>
      <w:marLeft w:val="0"/>
      <w:marRight w:val="0"/>
      <w:marTop w:val="0"/>
      <w:marBottom w:val="0"/>
      <w:divBdr>
        <w:top w:val="none" w:sz="0" w:space="0" w:color="auto"/>
        <w:left w:val="none" w:sz="0" w:space="0" w:color="auto"/>
        <w:bottom w:val="none" w:sz="0" w:space="0" w:color="auto"/>
        <w:right w:val="none" w:sz="0" w:space="0" w:color="auto"/>
      </w:divBdr>
    </w:div>
    <w:div w:id="1899168745">
      <w:bodyDiv w:val="1"/>
      <w:marLeft w:val="0"/>
      <w:marRight w:val="0"/>
      <w:marTop w:val="0"/>
      <w:marBottom w:val="0"/>
      <w:divBdr>
        <w:top w:val="none" w:sz="0" w:space="0" w:color="auto"/>
        <w:left w:val="none" w:sz="0" w:space="0" w:color="auto"/>
        <w:bottom w:val="none" w:sz="0" w:space="0" w:color="auto"/>
        <w:right w:val="none" w:sz="0" w:space="0" w:color="auto"/>
      </w:divBdr>
    </w:div>
    <w:div w:id="1954051779">
      <w:bodyDiv w:val="1"/>
      <w:marLeft w:val="0"/>
      <w:marRight w:val="0"/>
      <w:marTop w:val="0"/>
      <w:marBottom w:val="0"/>
      <w:divBdr>
        <w:top w:val="none" w:sz="0" w:space="0" w:color="auto"/>
        <w:left w:val="none" w:sz="0" w:space="0" w:color="auto"/>
        <w:bottom w:val="none" w:sz="0" w:space="0" w:color="auto"/>
        <w:right w:val="none" w:sz="0" w:space="0" w:color="auto"/>
      </w:divBdr>
    </w:div>
    <w:div w:id="1958679922">
      <w:bodyDiv w:val="1"/>
      <w:marLeft w:val="0"/>
      <w:marRight w:val="0"/>
      <w:marTop w:val="0"/>
      <w:marBottom w:val="0"/>
      <w:divBdr>
        <w:top w:val="none" w:sz="0" w:space="0" w:color="auto"/>
        <w:left w:val="none" w:sz="0" w:space="0" w:color="auto"/>
        <w:bottom w:val="none" w:sz="0" w:space="0" w:color="auto"/>
        <w:right w:val="none" w:sz="0" w:space="0" w:color="auto"/>
      </w:divBdr>
    </w:div>
    <w:div w:id="1977056179">
      <w:bodyDiv w:val="1"/>
      <w:marLeft w:val="0"/>
      <w:marRight w:val="0"/>
      <w:marTop w:val="0"/>
      <w:marBottom w:val="0"/>
      <w:divBdr>
        <w:top w:val="none" w:sz="0" w:space="0" w:color="auto"/>
        <w:left w:val="none" w:sz="0" w:space="0" w:color="auto"/>
        <w:bottom w:val="none" w:sz="0" w:space="0" w:color="auto"/>
        <w:right w:val="none" w:sz="0" w:space="0" w:color="auto"/>
      </w:divBdr>
    </w:div>
    <w:div w:id="1980530375">
      <w:bodyDiv w:val="1"/>
      <w:marLeft w:val="0"/>
      <w:marRight w:val="0"/>
      <w:marTop w:val="0"/>
      <w:marBottom w:val="0"/>
      <w:divBdr>
        <w:top w:val="none" w:sz="0" w:space="0" w:color="auto"/>
        <w:left w:val="none" w:sz="0" w:space="0" w:color="auto"/>
        <w:bottom w:val="none" w:sz="0" w:space="0" w:color="auto"/>
        <w:right w:val="none" w:sz="0" w:space="0" w:color="auto"/>
      </w:divBdr>
    </w:div>
    <w:div w:id="2029942571">
      <w:bodyDiv w:val="1"/>
      <w:marLeft w:val="0"/>
      <w:marRight w:val="0"/>
      <w:marTop w:val="0"/>
      <w:marBottom w:val="0"/>
      <w:divBdr>
        <w:top w:val="none" w:sz="0" w:space="0" w:color="auto"/>
        <w:left w:val="none" w:sz="0" w:space="0" w:color="auto"/>
        <w:bottom w:val="none" w:sz="0" w:space="0" w:color="auto"/>
        <w:right w:val="none" w:sz="0" w:space="0" w:color="auto"/>
      </w:divBdr>
    </w:div>
    <w:div w:id="2037852510">
      <w:bodyDiv w:val="1"/>
      <w:marLeft w:val="0"/>
      <w:marRight w:val="0"/>
      <w:marTop w:val="0"/>
      <w:marBottom w:val="0"/>
      <w:divBdr>
        <w:top w:val="none" w:sz="0" w:space="0" w:color="auto"/>
        <w:left w:val="none" w:sz="0" w:space="0" w:color="auto"/>
        <w:bottom w:val="none" w:sz="0" w:space="0" w:color="auto"/>
        <w:right w:val="none" w:sz="0" w:space="0" w:color="auto"/>
      </w:divBdr>
    </w:div>
    <w:div w:id="2059667999">
      <w:bodyDiv w:val="1"/>
      <w:marLeft w:val="0"/>
      <w:marRight w:val="0"/>
      <w:marTop w:val="0"/>
      <w:marBottom w:val="0"/>
      <w:divBdr>
        <w:top w:val="none" w:sz="0" w:space="0" w:color="auto"/>
        <w:left w:val="none" w:sz="0" w:space="0" w:color="auto"/>
        <w:bottom w:val="none" w:sz="0" w:space="0" w:color="auto"/>
        <w:right w:val="none" w:sz="0" w:space="0" w:color="auto"/>
      </w:divBdr>
    </w:div>
    <w:div w:id="2097700306">
      <w:bodyDiv w:val="1"/>
      <w:marLeft w:val="0"/>
      <w:marRight w:val="0"/>
      <w:marTop w:val="0"/>
      <w:marBottom w:val="0"/>
      <w:divBdr>
        <w:top w:val="none" w:sz="0" w:space="0" w:color="auto"/>
        <w:left w:val="none" w:sz="0" w:space="0" w:color="auto"/>
        <w:bottom w:val="none" w:sz="0" w:space="0" w:color="auto"/>
        <w:right w:val="none" w:sz="0" w:space="0" w:color="auto"/>
      </w:divBdr>
    </w:div>
    <w:div w:id="2141265557">
      <w:bodyDiv w:val="1"/>
      <w:marLeft w:val="0"/>
      <w:marRight w:val="0"/>
      <w:marTop w:val="0"/>
      <w:marBottom w:val="0"/>
      <w:divBdr>
        <w:top w:val="none" w:sz="0" w:space="0" w:color="auto"/>
        <w:left w:val="none" w:sz="0" w:space="0" w:color="auto"/>
        <w:bottom w:val="none" w:sz="0" w:space="0" w:color="auto"/>
        <w:right w:val="none" w:sz="0" w:space="0" w:color="auto"/>
      </w:divBdr>
    </w:div>
    <w:div w:id="21414180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3.xml"/><Relationship Id="rId26" Type="http://schemas.openxmlformats.org/officeDocument/2006/relationships/chart" Target="charts/chart11.xml"/><Relationship Id="rId21" Type="http://schemas.openxmlformats.org/officeDocument/2006/relationships/chart" Target="charts/chart6.xml"/><Relationship Id="rId34"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image" Target="media/image6.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chart" Target="charts/chart1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wmf"/><Relationship Id="rId24" Type="http://schemas.openxmlformats.org/officeDocument/2006/relationships/chart" Target="charts/chart9.xml"/><Relationship Id="rId32" Type="http://schemas.openxmlformats.org/officeDocument/2006/relationships/footer" Target="footer1.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isteebu.bi" TargetMode="External"/><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footer" Target="footer3.xml"/><Relationship Id="rId10" Type="http://schemas.openxmlformats.org/officeDocument/2006/relationships/image" Target="media/image3.wmf"/><Relationship Id="rId19" Type="http://schemas.openxmlformats.org/officeDocument/2006/relationships/chart" Target="charts/chart4.xml"/><Relationship Id="rId31" Type="http://schemas.openxmlformats.org/officeDocument/2006/relationships/chart" Target="charts/chart16.xml"/><Relationship Id="rId4" Type="http://schemas.openxmlformats.org/officeDocument/2006/relationships/settings" Target="settings.xml"/><Relationship Id="rId9" Type="http://schemas.openxmlformats.org/officeDocument/2006/relationships/image" Target="media/image20.wmf"/><Relationship Id="rId14" Type="http://schemas.openxmlformats.org/officeDocument/2006/relationships/hyperlink" Target="mailto:isteebu@isteebu.bi" TargetMode="External"/><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chart" Target="charts/chart15.xml"/><Relationship Id="rId35" Type="http://schemas.openxmlformats.org/officeDocument/2006/relationships/footer" Target="footer2.xml"/><Relationship Id="rId8" Type="http://schemas.openxmlformats.org/officeDocument/2006/relationships/image" Target="media/image2.wmf"/><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E:\DISQUE%20EXTERNE\Documents\ICA\ICA%20T1%202023\Tableaux%20et%20graphiques%20Commerce%20T1_2023%20220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Users\ndikumanabrevelien\Desktop\ICA%20T4\Tableaux%20et%20graphyques%20Services%20T1%202023%201905.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E:\DISQUE%20EXTERNE\Documents\ICA\ICA%20T1%202023\Tableaux%20et%20graphyques%20Services%20T1%202023%201905.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Users\ndikumanabrevelien\Desktop\ICA%20T4\Tableaux%20et%20graphyques%20Services%20T1%202023%201905.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Users\ndikumanabrevelien\Desktop\ICA%20T4\Tableaux%20et%20graphyques%20Services%20T1%202023%201905.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Users\ndikumanabrevelien\Desktop\ICA%20T4\Tableaux%20et%20graphyques%20Services%20T1%202023%201905.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E:\DISQUE%20EXTERNE\Documents\ICA\ICA%20T1%202023\Tableaux%20et%20graphyques%20Services%20T1%202023%201905.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Users\ndikumanabrevelien\Desktop\ICA%20T4\Tableaux%20et%20graphyques%20Services%20T1%202023%201905.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Feuille_de_calcul_Microsoft_Excel.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Feuille_de_calcul_Microsoft_Excel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Feuille_de_calcul_Microsoft_Excel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ndikumanabrevelien\Desktop\ICA%20T1%202023\Tableaux%20et%20graphiques%20Commerce%20T1_202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Feuille_de_calcul_Microsoft_Excel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Users\ndikumanabrevelien\Desktop\ICA%20T4\Tableaux%20et%20graphyques%20Services%20T1%202023%201905.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Users\ndikumanabrevelien\Desktop\ICA%20T4\Tableaux%20et%20graphyques%20Services%20T1%202023%201905.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Users\ndikumanabrevelien\Desktop\ICA%20T4\Tableaux%20et%20graphyques%20Services%20T1%202023%20190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none"/>
          </c:marker>
          <c:cat>
            <c:strRef>
              <c:f>CALCUL!$B$15:$V$15</c:f>
              <c:strCache>
                <c:ptCount val="21"/>
                <c:pt idx="0">
                  <c:v>T1-2018</c:v>
                </c:pt>
                <c:pt idx="1">
                  <c:v>T2-2018</c:v>
                </c:pt>
                <c:pt idx="2">
                  <c:v>T3-2018</c:v>
                </c:pt>
                <c:pt idx="3">
                  <c:v>T4-2018</c:v>
                </c:pt>
                <c:pt idx="4">
                  <c:v>T1-2019</c:v>
                </c:pt>
                <c:pt idx="5">
                  <c:v>T2-2019</c:v>
                </c:pt>
                <c:pt idx="6">
                  <c:v>T3-2019</c:v>
                </c:pt>
                <c:pt idx="7">
                  <c:v>T4-2019</c:v>
                </c:pt>
                <c:pt idx="8">
                  <c:v>T1-2020</c:v>
                </c:pt>
                <c:pt idx="9">
                  <c:v>T2-2020</c:v>
                </c:pt>
                <c:pt idx="10">
                  <c:v>T3-2020</c:v>
                </c:pt>
                <c:pt idx="11">
                  <c:v>T4-2020</c:v>
                </c:pt>
                <c:pt idx="12">
                  <c:v>T1-2021</c:v>
                </c:pt>
                <c:pt idx="13">
                  <c:v>T2-2021</c:v>
                </c:pt>
                <c:pt idx="14">
                  <c:v>T3-2021</c:v>
                </c:pt>
                <c:pt idx="15">
                  <c:v>T4-2021</c:v>
                </c:pt>
                <c:pt idx="16">
                  <c:v>T1-2022</c:v>
                </c:pt>
                <c:pt idx="17">
                  <c:v>T2-2022</c:v>
                </c:pt>
                <c:pt idx="18">
                  <c:v>T3-2022</c:v>
                </c:pt>
                <c:pt idx="19">
                  <c:v>T4 2022</c:v>
                </c:pt>
                <c:pt idx="20">
                  <c:v>T1 2023</c:v>
                </c:pt>
              </c:strCache>
            </c:strRef>
          </c:cat>
          <c:val>
            <c:numRef>
              <c:f>CALCUL!$B$16:$V$16</c:f>
              <c:numCache>
                <c:formatCode>General</c:formatCode>
                <c:ptCount val="21"/>
                <c:pt idx="0">
                  <c:v>96.487887839121797</c:v>
                </c:pt>
                <c:pt idx="1">
                  <c:v>109.67613062487366</c:v>
                </c:pt>
                <c:pt idx="2">
                  <c:v>117.47854754686414</c:v>
                </c:pt>
                <c:pt idx="3">
                  <c:v>117.28247279816452</c:v>
                </c:pt>
                <c:pt idx="4">
                  <c:v>115.59107458931412</c:v>
                </c:pt>
                <c:pt idx="5">
                  <c:v>126.11584516626083</c:v>
                </c:pt>
                <c:pt idx="6">
                  <c:v>147.38292443733926</c:v>
                </c:pt>
                <c:pt idx="7">
                  <c:v>154.22585997799683</c:v>
                </c:pt>
                <c:pt idx="8">
                  <c:v>155.34106792770743</c:v>
                </c:pt>
                <c:pt idx="9">
                  <c:v>137.86509646127439</c:v>
                </c:pt>
                <c:pt idx="10">
                  <c:v>119.52356253126321</c:v>
                </c:pt>
                <c:pt idx="11">
                  <c:v>141.88012177133433</c:v>
                </c:pt>
                <c:pt idx="12">
                  <c:v>119.30228457144872</c:v>
                </c:pt>
                <c:pt idx="13">
                  <c:v>126.36155776736662</c:v>
                </c:pt>
                <c:pt idx="14">
                  <c:v>147.14808026745678</c:v>
                </c:pt>
                <c:pt idx="15">
                  <c:v>123.59027548139653</c:v>
                </c:pt>
                <c:pt idx="16">
                  <c:v>150.54597129304372</c:v>
                </c:pt>
                <c:pt idx="17">
                  <c:v>143.14329248413509</c:v>
                </c:pt>
                <c:pt idx="18">
                  <c:v>105.97056764839225</c:v>
                </c:pt>
                <c:pt idx="19">
                  <c:v>108.90706687309809</c:v>
                </c:pt>
                <c:pt idx="20">
                  <c:v>114.64529925499548</c:v>
                </c:pt>
              </c:numCache>
            </c:numRef>
          </c:val>
          <c:smooth val="0"/>
          <c:extLst>
            <c:ext xmlns:c16="http://schemas.microsoft.com/office/drawing/2014/chart" uri="{C3380CC4-5D6E-409C-BE32-E72D297353CC}">
              <c16:uniqueId val="{00000000-9BBD-4589-A551-8D14AD0C88A2}"/>
            </c:ext>
          </c:extLst>
        </c:ser>
        <c:dLbls>
          <c:showLegendKey val="0"/>
          <c:showVal val="0"/>
          <c:showCatName val="0"/>
          <c:showSerName val="0"/>
          <c:showPercent val="0"/>
          <c:showBubbleSize val="0"/>
        </c:dLbls>
        <c:smooth val="0"/>
        <c:axId val="1679568976"/>
        <c:axId val="1679570224"/>
      </c:lineChart>
      <c:catAx>
        <c:axId val="1679568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79570224"/>
        <c:crosses val="autoZero"/>
        <c:auto val="1"/>
        <c:lblAlgn val="ctr"/>
        <c:lblOffset val="100"/>
        <c:noMultiLvlLbl val="0"/>
      </c:catAx>
      <c:valAx>
        <c:axId val="1679570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79568976"/>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spPr>
            <a:ln w="28575" cap="rnd">
              <a:solidFill>
                <a:schemeClr val="accent1"/>
              </a:solidFill>
              <a:round/>
            </a:ln>
            <a:effectLst/>
          </c:spPr>
          <c:marker>
            <c:symbol val="none"/>
          </c:marker>
          <c:cat>
            <c:strRef>
              <c:f>CALCUL!$B$75:$V$75</c:f>
              <c:strCache>
                <c:ptCount val="21"/>
                <c:pt idx="0">
                  <c:v>T1 2018</c:v>
                </c:pt>
                <c:pt idx="1">
                  <c:v>T2 2018</c:v>
                </c:pt>
                <c:pt idx="2">
                  <c:v>T3 2018</c:v>
                </c:pt>
                <c:pt idx="3">
                  <c:v>T4 2018</c:v>
                </c:pt>
                <c:pt idx="4">
                  <c:v>T1 2019</c:v>
                </c:pt>
                <c:pt idx="5">
                  <c:v>T2 2019</c:v>
                </c:pt>
                <c:pt idx="6">
                  <c:v>T3 2019</c:v>
                </c:pt>
                <c:pt idx="7">
                  <c:v>T4 2019</c:v>
                </c:pt>
                <c:pt idx="8">
                  <c:v>T1 2020</c:v>
                </c:pt>
                <c:pt idx="9">
                  <c:v>T2 2020</c:v>
                </c:pt>
                <c:pt idx="10">
                  <c:v>T3 2020</c:v>
                </c:pt>
                <c:pt idx="11">
                  <c:v>T4 2020</c:v>
                </c:pt>
                <c:pt idx="12">
                  <c:v>T1 2021</c:v>
                </c:pt>
                <c:pt idx="13">
                  <c:v>T2 2021</c:v>
                </c:pt>
                <c:pt idx="14">
                  <c:v>T3 2021</c:v>
                </c:pt>
                <c:pt idx="15">
                  <c:v>T4 2021</c:v>
                </c:pt>
                <c:pt idx="16">
                  <c:v>T1 2022</c:v>
                </c:pt>
                <c:pt idx="17">
                  <c:v>T2 2022</c:v>
                </c:pt>
                <c:pt idx="18">
                  <c:v>T3 2022</c:v>
                </c:pt>
                <c:pt idx="19">
                  <c:v>T4 2022</c:v>
                </c:pt>
                <c:pt idx="20">
                  <c:v>T1 2023</c:v>
                </c:pt>
              </c:strCache>
            </c:strRef>
          </c:cat>
          <c:val>
            <c:numRef>
              <c:f>CALCUL!$B$76:$V$76</c:f>
              <c:numCache>
                <c:formatCode>General</c:formatCode>
                <c:ptCount val="21"/>
                <c:pt idx="0">
                  <c:v>93.69345752326285</c:v>
                </c:pt>
                <c:pt idx="1">
                  <c:v>97.191734565053906</c:v>
                </c:pt>
                <c:pt idx="2">
                  <c:v>109.52985133201307</c:v>
                </c:pt>
                <c:pt idx="3">
                  <c:v>102.96801435328877</c:v>
                </c:pt>
                <c:pt idx="4">
                  <c:v>111.97216894514297</c:v>
                </c:pt>
                <c:pt idx="5">
                  <c:v>115.6738711128875</c:v>
                </c:pt>
                <c:pt idx="6">
                  <c:v>119.00338777355458</c:v>
                </c:pt>
                <c:pt idx="7">
                  <c:v>96.335883877613313</c:v>
                </c:pt>
                <c:pt idx="8">
                  <c:v>115.74169691822426</c:v>
                </c:pt>
                <c:pt idx="9">
                  <c:v>100.31715331871661</c:v>
                </c:pt>
                <c:pt idx="10">
                  <c:v>101.44014525699858</c:v>
                </c:pt>
                <c:pt idx="11">
                  <c:v>114.19652680545958</c:v>
                </c:pt>
                <c:pt idx="12">
                  <c:v>202.11227712574558</c:v>
                </c:pt>
                <c:pt idx="13">
                  <c:v>102.34993741745053</c:v>
                </c:pt>
                <c:pt idx="14">
                  <c:v>163.16648887614676</c:v>
                </c:pt>
                <c:pt idx="15">
                  <c:v>174.29883611312681</c:v>
                </c:pt>
                <c:pt idx="16">
                  <c:v>147.79103603962594</c:v>
                </c:pt>
                <c:pt idx="17">
                  <c:v>232.02478096401555</c:v>
                </c:pt>
                <c:pt idx="18">
                  <c:v>229.04200502143726</c:v>
                </c:pt>
                <c:pt idx="19">
                  <c:v>183.96406749731025</c:v>
                </c:pt>
                <c:pt idx="20">
                  <c:v>220.42744430814523</c:v>
                </c:pt>
              </c:numCache>
            </c:numRef>
          </c:val>
          <c:smooth val="0"/>
          <c:extLst>
            <c:ext xmlns:c16="http://schemas.microsoft.com/office/drawing/2014/chart" uri="{C3380CC4-5D6E-409C-BE32-E72D297353CC}">
              <c16:uniqueId val="{00000000-97FE-40AA-BC29-22AF4DC17A77}"/>
            </c:ext>
          </c:extLst>
        </c:ser>
        <c:dLbls>
          <c:showLegendKey val="0"/>
          <c:showVal val="0"/>
          <c:showCatName val="0"/>
          <c:showSerName val="0"/>
          <c:showPercent val="0"/>
          <c:showBubbleSize val="0"/>
        </c:dLbls>
        <c:smooth val="0"/>
        <c:axId val="2129275615"/>
        <c:axId val="2129276031"/>
      </c:lineChart>
      <c:catAx>
        <c:axId val="2129275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276031"/>
        <c:crosses val="autoZero"/>
        <c:auto val="1"/>
        <c:lblAlgn val="ctr"/>
        <c:lblOffset val="100"/>
        <c:noMultiLvlLbl val="0"/>
      </c:catAx>
      <c:valAx>
        <c:axId val="2129276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275615"/>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spPr>
            <a:ln w="28575" cap="rnd">
              <a:solidFill>
                <a:schemeClr val="accent1"/>
              </a:solidFill>
              <a:round/>
            </a:ln>
            <a:effectLst/>
          </c:spPr>
          <c:marker>
            <c:symbol val="none"/>
          </c:marker>
          <c:cat>
            <c:strRef>
              <c:f>CALCUL!$B$92:$V$92</c:f>
              <c:strCache>
                <c:ptCount val="21"/>
                <c:pt idx="0">
                  <c:v>T1 2018</c:v>
                </c:pt>
                <c:pt idx="1">
                  <c:v>T2 2018</c:v>
                </c:pt>
                <c:pt idx="2">
                  <c:v>T3 2018</c:v>
                </c:pt>
                <c:pt idx="3">
                  <c:v>T4 2018</c:v>
                </c:pt>
                <c:pt idx="4">
                  <c:v>T1 2019</c:v>
                </c:pt>
                <c:pt idx="5">
                  <c:v>T2 2019</c:v>
                </c:pt>
                <c:pt idx="6">
                  <c:v>T3 2019</c:v>
                </c:pt>
                <c:pt idx="7">
                  <c:v>T4 2019</c:v>
                </c:pt>
                <c:pt idx="8">
                  <c:v>T1 2020</c:v>
                </c:pt>
                <c:pt idx="9">
                  <c:v>T2 2020</c:v>
                </c:pt>
                <c:pt idx="10">
                  <c:v>T3 2020</c:v>
                </c:pt>
                <c:pt idx="11">
                  <c:v>T4 2020</c:v>
                </c:pt>
                <c:pt idx="12">
                  <c:v>T1 2021</c:v>
                </c:pt>
                <c:pt idx="13">
                  <c:v>T2 2021</c:v>
                </c:pt>
                <c:pt idx="14">
                  <c:v>T3 2021</c:v>
                </c:pt>
                <c:pt idx="15">
                  <c:v>T4 2021</c:v>
                </c:pt>
                <c:pt idx="16">
                  <c:v>T1 2022</c:v>
                </c:pt>
                <c:pt idx="17">
                  <c:v>T2 2022</c:v>
                </c:pt>
                <c:pt idx="18">
                  <c:v>T3 2022</c:v>
                </c:pt>
                <c:pt idx="19">
                  <c:v>T4 2022</c:v>
                </c:pt>
                <c:pt idx="20">
                  <c:v>T1 2023</c:v>
                </c:pt>
              </c:strCache>
            </c:strRef>
          </c:cat>
          <c:val>
            <c:numRef>
              <c:f>CALCUL!$B$93:$V$93</c:f>
              <c:numCache>
                <c:formatCode>General</c:formatCode>
                <c:ptCount val="21"/>
                <c:pt idx="0">
                  <c:v>72.667248592813991</c:v>
                </c:pt>
                <c:pt idx="1">
                  <c:v>92.301571426301749</c:v>
                </c:pt>
                <c:pt idx="2">
                  <c:v>105.47127565022488</c:v>
                </c:pt>
                <c:pt idx="3">
                  <c:v>127.38078922524915</c:v>
                </c:pt>
                <c:pt idx="4">
                  <c:v>84.612100500796473</c:v>
                </c:pt>
                <c:pt idx="5">
                  <c:v>96.509803739198048</c:v>
                </c:pt>
                <c:pt idx="6">
                  <c:v>106.58758686414866</c:v>
                </c:pt>
                <c:pt idx="7">
                  <c:v>104.86815052652943</c:v>
                </c:pt>
                <c:pt idx="8">
                  <c:v>90.053908538178902</c:v>
                </c:pt>
                <c:pt idx="9">
                  <c:v>134.74613519754612</c:v>
                </c:pt>
                <c:pt idx="10">
                  <c:v>135.81463901622658</c:v>
                </c:pt>
                <c:pt idx="11">
                  <c:v>150.65092371957243</c:v>
                </c:pt>
                <c:pt idx="12">
                  <c:v>93.489005184700972</c:v>
                </c:pt>
                <c:pt idx="13">
                  <c:v>109.54550106617276</c:v>
                </c:pt>
                <c:pt idx="14">
                  <c:v>172.49716391145685</c:v>
                </c:pt>
                <c:pt idx="15">
                  <c:v>202.32611258122469</c:v>
                </c:pt>
                <c:pt idx="16">
                  <c:v>123.08432487045609</c:v>
                </c:pt>
                <c:pt idx="17">
                  <c:v>155.13549873173147</c:v>
                </c:pt>
                <c:pt idx="18">
                  <c:v>153.05609875205832</c:v>
                </c:pt>
                <c:pt idx="19">
                  <c:v>208.62199044242334</c:v>
                </c:pt>
                <c:pt idx="20">
                  <c:v>140.98537468926915</c:v>
                </c:pt>
              </c:numCache>
            </c:numRef>
          </c:val>
          <c:smooth val="0"/>
          <c:extLst>
            <c:ext xmlns:c16="http://schemas.microsoft.com/office/drawing/2014/chart" uri="{C3380CC4-5D6E-409C-BE32-E72D297353CC}">
              <c16:uniqueId val="{00000000-345B-4B46-AB48-8454F91D06F4}"/>
            </c:ext>
          </c:extLst>
        </c:ser>
        <c:dLbls>
          <c:showLegendKey val="0"/>
          <c:showVal val="0"/>
          <c:showCatName val="0"/>
          <c:showSerName val="0"/>
          <c:showPercent val="0"/>
          <c:showBubbleSize val="0"/>
        </c:dLbls>
        <c:smooth val="0"/>
        <c:axId val="2049843615"/>
        <c:axId val="2049846943"/>
      </c:lineChart>
      <c:catAx>
        <c:axId val="2049843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49846943"/>
        <c:crosses val="autoZero"/>
        <c:auto val="1"/>
        <c:lblAlgn val="ctr"/>
        <c:lblOffset val="100"/>
        <c:noMultiLvlLbl val="0"/>
      </c:catAx>
      <c:valAx>
        <c:axId val="20498469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49843615"/>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spPr>
            <a:ln w="28575" cap="rnd">
              <a:solidFill>
                <a:schemeClr val="accent1"/>
              </a:solidFill>
              <a:round/>
            </a:ln>
            <a:effectLst/>
          </c:spPr>
          <c:marker>
            <c:symbol val="none"/>
          </c:marker>
          <c:cat>
            <c:strRef>
              <c:f>CALCUL!$B$110:$V$110</c:f>
              <c:strCache>
                <c:ptCount val="21"/>
                <c:pt idx="0">
                  <c:v>T1 2018</c:v>
                </c:pt>
                <c:pt idx="1">
                  <c:v>T2 2018</c:v>
                </c:pt>
                <c:pt idx="2">
                  <c:v>T3 2018</c:v>
                </c:pt>
                <c:pt idx="3">
                  <c:v>T4 2018</c:v>
                </c:pt>
                <c:pt idx="4">
                  <c:v>T1 2019</c:v>
                </c:pt>
                <c:pt idx="5">
                  <c:v>T2 2019</c:v>
                </c:pt>
                <c:pt idx="6">
                  <c:v>T3 2019</c:v>
                </c:pt>
                <c:pt idx="7">
                  <c:v>T4 2019</c:v>
                </c:pt>
                <c:pt idx="8">
                  <c:v>T1 2020</c:v>
                </c:pt>
                <c:pt idx="9">
                  <c:v>T2 2020</c:v>
                </c:pt>
                <c:pt idx="10">
                  <c:v>T3 2020</c:v>
                </c:pt>
                <c:pt idx="11">
                  <c:v>T4 2020</c:v>
                </c:pt>
                <c:pt idx="12">
                  <c:v>T1 2021</c:v>
                </c:pt>
                <c:pt idx="13">
                  <c:v>T2 2021</c:v>
                </c:pt>
                <c:pt idx="14">
                  <c:v>T3 2021</c:v>
                </c:pt>
                <c:pt idx="15">
                  <c:v>T4 2021</c:v>
                </c:pt>
                <c:pt idx="16">
                  <c:v>T1 2022</c:v>
                </c:pt>
                <c:pt idx="17">
                  <c:v>T2 2022</c:v>
                </c:pt>
                <c:pt idx="18">
                  <c:v>T3 2022</c:v>
                </c:pt>
                <c:pt idx="19">
                  <c:v>T4 2022</c:v>
                </c:pt>
                <c:pt idx="20">
                  <c:v>T1 2023</c:v>
                </c:pt>
              </c:strCache>
            </c:strRef>
          </c:cat>
          <c:val>
            <c:numRef>
              <c:f>CALCUL!$B$111:$V$111</c:f>
              <c:numCache>
                <c:formatCode>General</c:formatCode>
                <c:ptCount val="21"/>
                <c:pt idx="0">
                  <c:v>87.366909816679311</c:v>
                </c:pt>
                <c:pt idx="1">
                  <c:v>124.96290289242269</c:v>
                </c:pt>
                <c:pt idx="2">
                  <c:v>124.4320410331372</c:v>
                </c:pt>
                <c:pt idx="3">
                  <c:v>110.75682579615393</c:v>
                </c:pt>
                <c:pt idx="4">
                  <c:v>200.2065618705586</c:v>
                </c:pt>
                <c:pt idx="5">
                  <c:v>119.42294881560656</c:v>
                </c:pt>
                <c:pt idx="6">
                  <c:v>115.00353298505645</c:v>
                </c:pt>
                <c:pt idx="7">
                  <c:v>133.11847474072169</c:v>
                </c:pt>
                <c:pt idx="8">
                  <c:v>113.85199696269565</c:v>
                </c:pt>
                <c:pt idx="9">
                  <c:v>96.067611760084958</c:v>
                </c:pt>
                <c:pt idx="10">
                  <c:v>96.41768087520434</c:v>
                </c:pt>
                <c:pt idx="11">
                  <c:v>128.52828638810871</c:v>
                </c:pt>
                <c:pt idx="12">
                  <c:v>120.25865074298041</c:v>
                </c:pt>
                <c:pt idx="13">
                  <c:v>117.76146130890584</c:v>
                </c:pt>
                <c:pt idx="14">
                  <c:v>129.17499782514503</c:v>
                </c:pt>
                <c:pt idx="15">
                  <c:v>173.78964442709017</c:v>
                </c:pt>
                <c:pt idx="16">
                  <c:v>160.81771556534733</c:v>
                </c:pt>
                <c:pt idx="17">
                  <c:v>154.72878705042362</c:v>
                </c:pt>
                <c:pt idx="18">
                  <c:v>225.34980675822101</c:v>
                </c:pt>
                <c:pt idx="19">
                  <c:v>171.14796286313685</c:v>
                </c:pt>
                <c:pt idx="20">
                  <c:v>141.59178227452651</c:v>
                </c:pt>
              </c:numCache>
            </c:numRef>
          </c:val>
          <c:smooth val="0"/>
          <c:extLst>
            <c:ext xmlns:c16="http://schemas.microsoft.com/office/drawing/2014/chart" uri="{C3380CC4-5D6E-409C-BE32-E72D297353CC}">
              <c16:uniqueId val="{00000000-BCB8-442B-AC46-95311E7985A1}"/>
            </c:ext>
          </c:extLst>
        </c:ser>
        <c:dLbls>
          <c:showLegendKey val="0"/>
          <c:showVal val="0"/>
          <c:showCatName val="0"/>
          <c:showSerName val="0"/>
          <c:showPercent val="0"/>
          <c:showBubbleSize val="0"/>
        </c:dLbls>
        <c:smooth val="0"/>
        <c:axId val="2129270207"/>
        <c:axId val="2129261887"/>
      </c:lineChart>
      <c:catAx>
        <c:axId val="2129270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261887"/>
        <c:crosses val="autoZero"/>
        <c:auto val="1"/>
        <c:lblAlgn val="ctr"/>
        <c:lblOffset val="100"/>
        <c:noMultiLvlLbl val="0"/>
      </c:catAx>
      <c:valAx>
        <c:axId val="21292618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270207"/>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spPr>
            <a:ln w="28575" cap="rnd">
              <a:solidFill>
                <a:schemeClr val="accent1"/>
              </a:solidFill>
              <a:round/>
            </a:ln>
            <a:effectLst/>
          </c:spPr>
          <c:marker>
            <c:symbol val="none"/>
          </c:marker>
          <c:cat>
            <c:strRef>
              <c:f>CALCUL!$B$127:$V$127</c:f>
              <c:strCache>
                <c:ptCount val="21"/>
                <c:pt idx="0">
                  <c:v>T1 2018</c:v>
                </c:pt>
                <c:pt idx="1">
                  <c:v>T2 2018</c:v>
                </c:pt>
                <c:pt idx="2">
                  <c:v>T3 2018</c:v>
                </c:pt>
                <c:pt idx="3">
                  <c:v>T4 2018</c:v>
                </c:pt>
                <c:pt idx="4">
                  <c:v>T1 2019</c:v>
                </c:pt>
                <c:pt idx="5">
                  <c:v>T2 2019</c:v>
                </c:pt>
                <c:pt idx="6">
                  <c:v>T3 2019</c:v>
                </c:pt>
                <c:pt idx="7">
                  <c:v>T4 2019</c:v>
                </c:pt>
                <c:pt idx="8">
                  <c:v>T1 2020</c:v>
                </c:pt>
                <c:pt idx="9">
                  <c:v>T2 2020</c:v>
                </c:pt>
                <c:pt idx="10">
                  <c:v>T3 2020</c:v>
                </c:pt>
                <c:pt idx="11">
                  <c:v>T4 2020</c:v>
                </c:pt>
                <c:pt idx="12">
                  <c:v>T1 2021</c:v>
                </c:pt>
                <c:pt idx="13">
                  <c:v>T2 2021</c:v>
                </c:pt>
                <c:pt idx="14">
                  <c:v>T3 2021</c:v>
                </c:pt>
                <c:pt idx="15">
                  <c:v>T4 2021</c:v>
                </c:pt>
                <c:pt idx="16">
                  <c:v>T1 2022</c:v>
                </c:pt>
                <c:pt idx="17">
                  <c:v>T2 2022</c:v>
                </c:pt>
                <c:pt idx="18">
                  <c:v>T3 2022</c:v>
                </c:pt>
                <c:pt idx="19">
                  <c:v>T4 2022</c:v>
                </c:pt>
                <c:pt idx="20">
                  <c:v>T1 2023</c:v>
                </c:pt>
              </c:strCache>
            </c:strRef>
          </c:cat>
          <c:val>
            <c:numRef>
              <c:f>CALCUL!$B$128:$V$128</c:f>
              <c:numCache>
                <c:formatCode>General</c:formatCode>
                <c:ptCount val="21"/>
                <c:pt idx="0">
                  <c:v>55.594905989261989</c:v>
                </c:pt>
                <c:pt idx="1">
                  <c:v>85.089811632031029</c:v>
                </c:pt>
                <c:pt idx="2">
                  <c:v>91.341608149562944</c:v>
                </c:pt>
                <c:pt idx="3">
                  <c:v>246.25066255146456</c:v>
                </c:pt>
                <c:pt idx="4">
                  <c:v>83.5334922157015</c:v>
                </c:pt>
                <c:pt idx="5">
                  <c:v>104.67790233091435</c:v>
                </c:pt>
                <c:pt idx="6">
                  <c:v>139.77161854802591</c:v>
                </c:pt>
                <c:pt idx="7">
                  <c:v>33.164208000592275</c:v>
                </c:pt>
                <c:pt idx="8">
                  <c:v>55.398804854900639</c:v>
                </c:pt>
                <c:pt idx="9">
                  <c:v>60.543170669450838</c:v>
                </c:pt>
                <c:pt idx="10">
                  <c:v>60.543170669450838</c:v>
                </c:pt>
                <c:pt idx="11">
                  <c:v>79.683861152447932</c:v>
                </c:pt>
                <c:pt idx="12">
                  <c:v>77.383737032722564</c:v>
                </c:pt>
                <c:pt idx="13">
                  <c:v>67.716098982734962</c:v>
                </c:pt>
                <c:pt idx="14">
                  <c:v>79.207540613755882</c:v>
                </c:pt>
                <c:pt idx="15">
                  <c:v>69.103675130517402</c:v>
                </c:pt>
                <c:pt idx="16">
                  <c:v>31.596658054050387</c:v>
                </c:pt>
                <c:pt idx="17">
                  <c:v>78.815127889865678</c:v>
                </c:pt>
                <c:pt idx="18">
                  <c:v>55.428727466688969</c:v>
                </c:pt>
                <c:pt idx="19">
                  <c:v>69.774365231891849</c:v>
                </c:pt>
                <c:pt idx="20">
                  <c:v>48.877146569670458</c:v>
                </c:pt>
              </c:numCache>
            </c:numRef>
          </c:val>
          <c:smooth val="0"/>
          <c:extLst>
            <c:ext xmlns:c16="http://schemas.microsoft.com/office/drawing/2014/chart" uri="{C3380CC4-5D6E-409C-BE32-E72D297353CC}">
              <c16:uniqueId val="{00000000-10D1-496C-B05F-DC8640AFDFF0}"/>
            </c:ext>
          </c:extLst>
        </c:ser>
        <c:dLbls>
          <c:showLegendKey val="0"/>
          <c:showVal val="0"/>
          <c:showCatName val="0"/>
          <c:showSerName val="0"/>
          <c:showPercent val="0"/>
          <c:showBubbleSize val="0"/>
        </c:dLbls>
        <c:smooth val="0"/>
        <c:axId val="2060959071"/>
        <c:axId val="2060954079"/>
      </c:lineChart>
      <c:catAx>
        <c:axId val="2060959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60954079"/>
        <c:crosses val="autoZero"/>
        <c:auto val="1"/>
        <c:lblAlgn val="ctr"/>
        <c:lblOffset val="100"/>
        <c:noMultiLvlLbl val="0"/>
      </c:catAx>
      <c:valAx>
        <c:axId val="20609540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60959071"/>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025371828521432E-2"/>
          <c:y val="0.18097222222222226"/>
          <c:w val="0.89019685039370078"/>
          <c:h val="0.63646617089530477"/>
        </c:manualLayout>
      </c:layout>
      <c:lineChart>
        <c:grouping val="stacked"/>
        <c:varyColors val="0"/>
        <c:ser>
          <c:idx val="0"/>
          <c:order val="0"/>
          <c:spPr>
            <a:ln w="28575" cap="rnd">
              <a:solidFill>
                <a:schemeClr val="accent1"/>
              </a:solidFill>
              <a:round/>
            </a:ln>
            <a:effectLst/>
          </c:spPr>
          <c:marker>
            <c:symbol val="none"/>
          </c:marker>
          <c:cat>
            <c:strRef>
              <c:f>CALCUL!$B$145:$V$145</c:f>
              <c:strCache>
                <c:ptCount val="21"/>
                <c:pt idx="0">
                  <c:v>T1 2018</c:v>
                </c:pt>
                <c:pt idx="1">
                  <c:v>T2 2018</c:v>
                </c:pt>
                <c:pt idx="2">
                  <c:v>T3 2018</c:v>
                </c:pt>
                <c:pt idx="3">
                  <c:v>T4 2018</c:v>
                </c:pt>
                <c:pt idx="4">
                  <c:v>T1 2019</c:v>
                </c:pt>
                <c:pt idx="5">
                  <c:v>T2 2019</c:v>
                </c:pt>
                <c:pt idx="6">
                  <c:v>T3 2019</c:v>
                </c:pt>
                <c:pt idx="7">
                  <c:v>T4 2019</c:v>
                </c:pt>
                <c:pt idx="8">
                  <c:v>T1 2020</c:v>
                </c:pt>
                <c:pt idx="9">
                  <c:v>T2 2020</c:v>
                </c:pt>
                <c:pt idx="10">
                  <c:v>T3 2020</c:v>
                </c:pt>
                <c:pt idx="11">
                  <c:v>T4 2020</c:v>
                </c:pt>
                <c:pt idx="12">
                  <c:v>T1 2021</c:v>
                </c:pt>
                <c:pt idx="13">
                  <c:v>T2 2021</c:v>
                </c:pt>
                <c:pt idx="14">
                  <c:v>T3 2021</c:v>
                </c:pt>
                <c:pt idx="15">
                  <c:v>T4 2021</c:v>
                </c:pt>
                <c:pt idx="16">
                  <c:v>T1 2022</c:v>
                </c:pt>
                <c:pt idx="17">
                  <c:v>T2 2022</c:v>
                </c:pt>
                <c:pt idx="18">
                  <c:v>T3 2022</c:v>
                </c:pt>
                <c:pt idx="19">
                  <c:v>T4 2022</c:v>
                </c:pt>
                <c:pt idx="20">
                  <c:v>T1 2023</c:v>
                </c:pt>
              </c:strCache>
            </c:strRef>
          </c:cat>
          <c:val>
            <c:numRef>
              <c:f>CALCUL!$B$146:$V$146</c:f>
              <c:numCache>
                <c:formatCode>General</c:formatCode>
                <c:ptCount val="21"/>
                <c:pt idx="0">
                  <c:v>92.30361945704891</c:v>
                </c:pt>
                <c:pt idx="1">
                  <c:v>100.41866066144095</c:v>
                </c:pt>
                <c:pt idx="2">
                  <c:v>102.96748084208841</c:v>
                </c:pt>
                <c:pt idx="3">
                  <c:v>104.31023903942167</c:v>
                </c:pt>
                <c:pt idx="4">
                  <c:v>111.8232054424488</c:v>
                </c:pt>
                <c:pt idx="5">
                  <c:v>92.920999499580105</c:v>
                </c:pt>
                <c:pt idx="6">
                  <c:v>105.09523831480797</c:v>
                </c:pt>
                <c:pt idx="7">
                  <c:v>104.27084952811283</c:v>
                </c:pt>
                <c:pt idx="8">
                  <c:v>105.33881739692579</c:v>
                </c:pt>
                <c:pt idx="9">
                  <c:v>109.94405517880143</c:v>
                </c:pt>
                <c:pt idx="10">
                  <c:v>101.37371023126408</c:v>
                </c:pt>
                <c:pt idx="11">
                  <c:v>104.6928023731877</c:v>
                </c:pt>
                <c:pt idx="12">
                  <c:v>110.49938867788026</c:v>
                </c:pt>
                <c:pt idx="13">
                  <c:v>98.836624626509959</c:v>
                </c:pt>
                <c:pt idx="14">
                  <c:v>102.08945455457327</c:v>
                </c:pt>
                <c:pt idx="15">
                  <c:v>110.94779113584971</c:v>
                </c:pt>
                <c:pt idx="16">
                  <c:v>108.19088898229906</c:v>
                </c:pt>
                <c:pt idx="17">
                  <c:v>105.253751195002</c:v>
                </c:pt>
                <c:pt idx="18">
                  <c:v>103.1727420436205</c:v>
                </c:pt>
                <c:pt idx="19">
                  <c:v>119.89914104893558</c:v>
                </c:pt>
                <c:pt idx="20">
                  <c:v>118.15223413105799</c:v>
                </c:pt>
              </c:numCache>
            </c:numRef>
          </c:val>
          <c:smooth val="0"/>
          <c:extLst>
            <c:ext xmlns:c16="http://schemas.microsoft.com/office/drawing/2014/chart" uri="{C3380CC4-5D6E-409C-BE32-E72D297353CC}">
              <c16:uniqueId val="{00000000-367B-4D64-9257-D8DCD6CEFEA2}"/>
            </c:ext>
          </c:extLst>
        </c:ser>
        <c:dLbls>
          <c:showLegendKey val="0"/>
          <c:showVal val="0"/>
          <c:showCatName val="0"/>
          <c:showSerName val="0"/>
          <c:showPercent val="0"/>
          <c:showBubbleSize val="0"/>
        </c:dLbls>
        <c:smooth val="0"/>
        <c:axId val="2129522975"/>
        <c:axId val="2129512575"/>
      </c:lineChart>
      <c:catAx>
        <c:axId val="2129522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512575"/>
        <c:crosses val="autoZero"/>
        <c:auto val="1"/>
        <c:lblAlgn val="ctr"/>
        <c:lblOffset val="100"/>
        <c:noMultiLvlLbl val="0"/>
      </c:catAx>
      <c:valAx>
        <c:axId val="21295125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522975"/>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spPr>
            <a:ln w="28575" cap="rnd">
              <a:solidFill>
                <a:schemeClr val="accent1"/>
              </a:solidFill>
              <a:round/>
            </a:ln>
            <a:effectLst/>
          </c:spPr>
          <c:marker>
            <c:symbol val="none"/>
          </c:marker>
          <c:cat>
            <c:strRef>
              <c:f>CALCUL!$B$185:$V$185</c:f>
              <c:strCache>
                <c:ptCount val="21"/>
                <c:pt idx="0">
                  <c:v>T1 2018</c:v>
                </c:pt>
                <c:pt idx="1">
                  <c:v>T2 2018</c:v>
                </c:pt>
                <c:pt idx="2">
                  <c:v>T3 2018</c:v>
                </c:pt>
                <c:pt idx="3">
                  <c:v>T4 2018</c:v>
                </c:pt>
                <c:pt idx="4">
                  <c:v>T1 2019</c:v>
                </c:pt>
                <c:pt idx="5">
                  <c:v>T2 2019</c:v>
                </c:pt>
                <c:pt idx="6">
                  <c:v>T3 2019</c:v>
                </c:pt>
                <c:pt idx="7">
                  <c:v>T4 2019</c:v>
                </c:pt>
                <c:pt idx="8">
                  <c:v>T1 2020</c:v>
                </c:pt>
                <c:pt idx="9">
                  <c:v>T2 2020</c:v>
                </c:pt>
                <c:pt idx="10">
                  <c:v>T3 2020</c:v>
                </c:pt>
                <c:pt idx="11">
                  <c:v>T4 2020</c:v>
                </c:pt>
                <c:pt idx="12">
                  <c:v>T1 2021</c:v>
                </c:pt>
                <c:pt idx="13">
                  <c:v>T2 2021</c:v>
                </c:pt>
                <c:pt idx="14">
                  <c:v>T3 2021</c:v>
                </c:pt>
                <c:pt idx="15">
                  <c:v>T4 2021</c:v>
                </c:pt>
                <c:pt idx="16">
                  <c:v>T1 2022</c:v>
                </c:pt>
                <c:pt idx="17">
                  <c:v>T2 2022</c:v>
                </c:pt>
                <c:pt idx="18">
                  <c:v>T3 2022</c:v>
                </c:pt>
                <c:pt idx="19">
                  <c:v>T4 2022</c:v>
                </c:pt>
                <c:pt idx="20">
                  <c:v>T1 2023</c:v>
                </c:pt>
              </c:strCache>
            </c:strRef>
          </c:cat>
          <c:val>
            <c:numRef>
              <c:f>CALCUL!$B$186:$V$186</c:f>
              <c:numCache>
                <c:formatCode>General</c:formatCode>
                <c:ptCount val="21"/>
                <c:pt idx="0">
                  <c:v>25.002306902117567</c:v>
                </c:pt>
                <c:pt idx="1">
                  <c:v>27.041230022190017</c:v>
                </c:pt>
                <c:pt idx="2">
                  <c:v>77.210978142962716</c:v>
                </c:pt>
                <c:pt idx="3">
                  <c:v>34.72191849785122</c:v>
                </c:pt>
                <c:pt idx="4">
                  <c:v>33.895275536830901</c:v>
                </c:pt>
                <c:pt idx="5">
                  <c:v>40.854229911389751</c:v>
                </c:pt>
                <c:pt idx="6">
                  <c:v>39.18229352536369</c:v>
                </c:pt>
                <c:pt idx="7">
                  <c:v>28.240396573752403</c:v>
                </c:pt>
                <c:pt idx="8">
                  <c:v>22.258648801762813</c:v>
                </c:pt>
                <c:pt idx="9">
                  <c:v>19.350827763203082</c:v>
                </c:pt>
                <c:pt idx="10">
                  <c:v>19.350827763203082</c:v>
                </c:pt>
                <c:pt idx="11">
                  <c:v>47.122652799645188</c:v>
                </c:pt>
                <c:pt idx="12">
                  <c:v>14.527146554146345</c:v>
                </c:pt>
                <c:pt idx="13">
                  <c:v>17.446790238391834</c:v>
                </c:pt>
                <c:pt idx="14">
                  <c:v>17.446790238391834</c:v>
                </c:pt>
                <c:pt idx="15">
                  <c:v>17.56169458135199</c:v>
                </c:pt>
                <c:pt idx="16">
                  <c:v>12.786006261572727</c:v>
                </c:pt>
                <c:pt idx="17">
                  <c:v>20.404773254045679</c:v>
                </c:pt>
                <c:pt idx="18">
                  <c:v>20.299864394127706</c:v>
                </c:pt>
                <c:pt idx="19">
                  <c:v>19.413102828104389</c:v>
                </c:pt>
                <c:pt idx="20">
                  <c:v>22.043857624864096</c:v>
                </c:pt>
              </c:numCache>
            </c:numRef>
          </c:val>
          <c:smooth val="0"/>
          <c:extLst>
            <c:ext xmlns:c16="http://schemas.microsoft.com/office/drawing/2014/chart" uri="{C3380CC4-5D6E-409C-BE32-E72D297353CC}">
              <c16:uniqueId val="{00000000-27EC-4E3E-9A17-01E0DFBE82C1}"/>
            </c:ext>
          </c:extLst>
        </c:ser>
        <c:dLbls>
          <c:showLegendKey val="0"/>
          <c:showVal val="0"/>
          <c:showCatName val="0"/>
          <c:showSerName val="0"/>
          <c:showPercent val="0"/>
          <c:showBubbleSize val="0"/>
        </c:dLbls>
        <c:smooth val="0"/>
        <c:axId val="2057773071"/>
        <c:axId val="2057777647"/>
      </c:lineChart>
      <c:catAx>
        <c:axId val="2057773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57777647"/>
        <c:crosses val="autoZero"/>
        <c:auto val="1"/>
        <c:lblAlgn val="ctr"/>
        <c:lblOffset val="100"/>
        <c:noMultiLvlLbl val="0"/>
      </c:catAx>
      <c:valAx>
        <c:axId val="20577776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57773071"/>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032450489143402E-2"/>
          <c:y val="5.0925925925925923E-2"/>
          <c:w val="0.83043724648055361"/>
          <c:h val="0.79081802274715662"/>
        </c:manualLayout>
      </c:layout>
      <c:lineChart>
        <c:grouping val="stacked"/>
        <c:varyColors val="0"/>
        <c:ser>
          <c:idx val="0"/>
          <c:order val="0"/>
          <c:spPr>
            <a:ln w="28575" cap="rnd">
              <a:solidFill>
                <a:schemeClr val="accent1"/>
              </a:solidFill>
              <a:round/>
            </a:ln>
            <a:effectLst/>
          </c:spPr>
          <c:marker>
            <c:symbol val="none"/>
          </c:marker>
          <c:cat>
            <c:strRef>
              <c:f>CALCUL!$B$205:$V$205</c:f>
              <c:strCache>
                <c:ptCount val="21"/>
                <c:pt idx="0">
                  <c:v>T1 2018</c:v>
                </c:pt>
                <c:pt idx="1">
                  <c:v>T2 2018</c:v>
                </c:pt>
                <c:pt idx="2">
                  <c:v>T3 2018</c:v>
                </c:pt>
                <c:pt idx="3">
                  <c:v>T4 2018</c:v>
                </c:pt>
                <c:pt idx="4">
                  <c:v>T1 2019</c:v>
                </c:pt>
                <c:pt idx="5">
                  <c:v>T2 2019</c:v>
                </c:pt>
                <c:pt idx="6">
                  <c:v>T3 2019</c:v>
                </c:pt>
                <c:pt idx="7">
                  <c:v>T4 2019</c:v>
                </c:pt>
                <c:pt idx="8">
                  <c:v>T1 2020</c:v>
                </c:pt>
                <c:pt idx="9">
                  <c:v>T2 2020</c:v>
                </c:pt>
                <c:pt idx="10">
                  <c:v>T3 2020</c:v>
                </c:pt>
                <c:pt idx="11">
                  <c:v>T4 2020</c:v>
                </c:pt>
                <c:pt idx="12">
                  <c:v>T1 2021</c:v>
                </c:pt>
                <c:pt idx="13">
                  <c:v>T2 2021</c:v>
                </c:pt>
                <c:pt idx="14">
                  <c:v>T3 2021</c:v>
                </c:pt>
                <c:pt idx="15">
                  <c:v>T4 2021</c:v>
                </c:pt>
                <c:pt idx="16">
                  <c:v>T1 2022</c:v>
                </c:pt>
                <c:pt idx="17">
                  <c:v>T2 2022</c:v>
                </c:pt>
                <c:pt idx="18">
                  <c:v>T3 2022</c:v>
                </c:pt>
                <c:pt idx="19">
                  <c:v>T4 2022</c:v>
                </c:pt>
                <c:pt idx="20">
                  <c:v>T1 2023</c:v>
                </c:pt>
              </c:strCache>
            </c:strRef>
          </c:cat>
          <c:val>
            <c:numRef>
              <c:f>CALCUL!$B$206:$V$206</c:f>
              <c:numCache>
                <c:formatCode>General</c:formatCode>
                <c:ptCount val="21"/>
                <c:pt idx="0">
                  <c:v>96.328506525608333</c:v>
                </c:pt>
                <c:pt idx="1">
                  <c:v>80.518524765206109</c:v>
                </c:pt>
                <c:pt idx="2">
                  <c:v>105.66036539593536</c:v>
                </c:pt>
                <c:pt idx="3">
                  <c:v>116.28557297553721</c:v>
                </c:pt>
                <c:pt idx="4">
                  <c:v>78.730288991244208</c:v>
                </c:pt>
                <c:pt idx="5">
                  <c:v>131.84507841945597</c:v>
                </c:pt>
                <c:pt idx="6">
                  <c:v>163.76558904792233</c:v>
                </c:pt>
                <c:pt idx="7">
                  <c:v>157.7455083335376</c:v>
                </c:pt>
                <c:pt idx="8">
                  <c:v>138.26807711007996</c:v>
                </c:pt>
                <c:pt idx="9">
                  <c:v>130.71812753129993</c:v>
                </c:pt>
                <c:pt idx="10">
                  <c:v>109.17462912546735</c:v>
                </c:pt>
                <c:pt idx="11">
                  <c:v>116.44663548331764</c:v>
                </c:pt>
                <c:pt idx="12">
                  <c:v>118.60971463708495</c:v>
                </c:pt>
                <c:pt idx="13">
                  <c:v>116.7919505106085</c:v>
                </c:pt>
                <c:pt idx="14">
                  <c:v>47.126228560674846</c:v>
                </c:pt>
                <c:pt idx="15">
                  <c:v>40.191864989492906</c:v>
                </c:pt>
                <c:pt idx="16">
                  <c:v>36.031201750277255</c:v>
                </c:pt>
                <c:pt idx="17">
                  <c:v>29.06897585310864</c:v>
                </c:pt>
                <c:pt idx="18">
                  <c:v>59.183662367199439</c:v>
                </c:pt>
                <c:pt idx="19">
                  <c:v>173.63985662560836</c:v>
                </c:pt>
                <c:pt idx="20">
                  <c:v>35.420969011839496</c:v>
                </c:pt>
              </c:numCache>
            </c:numRef>
          </c:val>
          <c:smooth val="0"/>
          <c:extLst>
            <c:ext xmlns:c16="http://schemas.microsoft.com/office/drawing/2014/chart" uri="{C3380CC4-5D6E-409C-BE32-E72D297353CC}">
              <c16:uniqueId val="{00000000-5137-46B4-BF68-9874F86D6298}"/>
            </c:ext>
          </c:extLst>
        </c:ser>
        <c:dLbls>
          <c:showLegendKey val="0"/>
          <c:showVal val="0"/>
          <c:showCatName val="0"/>
          <c:showSerName val="0"/>
          <c:showPercent val="0"/>
          <c:showBubbleSize val="0"/>
        </c:dLbls>
        <c:smooth val="0"/>
        <c:axId val="2129525887"/>
        <c:axId val="2129512159"/>
      </c:lineChart>
      <c:catAx>
        <c:axId val="2129525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512159"/>
        <c:crosses val="autoZero"/>
        <c:auto val="1"/>
        <c:lblAlgn val="ctr"/>
        <c:lblOffset val="100"/>
        <c:noMultiLvlLbl val="0"/>
      </c:catAx>
      <c:valAx>
        <c:axId val="21295121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525887"/>
        <c:crosses val="autoZero"/>
        <c:crossBetween val="between"/>
      </c:valAx>
      <c:spPr>
        <a:noFill/>
        <a:ln w="25400">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378950698426757E-2"/>
          <c:y val="0.17171296296296298"/>
          <c:w val="0.90696291804556528"/>
          <c:h val="0.63777012248468945"/>
        </c:manualLayout>
      </c:layout>
      <c:lineChart>
        <c:grouping val="stacked"/>
        <c:varyColors val="0"/>
        <c:ser>
          <c:idx val="0"/>
          <c:order val="0"/>
          <c:spPr>
            <a:ln w="28575" cap="rnd">
              <a:solidFill>
                <a:schemeClr val="accent1"/>
              </a:solidFill>
              <a:round/>
            </a:ln>
            <a:effectLst/>
          </c:spPr>
          <c:marker>
            <c:symbol val="none"/>
          </c:marker>
          <c:cat>
            <c:strRef>
              <c:f>CALCUL!$B$56:$V$56</c:f>
              <c:strCache>
                <c:ptCount val="21"/>
                <c:pt idx="0">
                  <c:v>T1-2018</c:v>
                </c:pt>
                <c:pt idx="1">
                  <c:v>T2-2018</c:v>
                </c:pt>
                <c:pt idx="2">
                  <c:v>T3-2018</c:v>
                </c:pt>
                <c:pt idx="3">
                  <c:v>T4-2018</c:v>
                </c:pt>
                <c:pt idx="4">
                  <c:v>T1-2019</c:v>
                </c:pt>
                <c:pt idx="5">
                  <c:v>T2-2019</c:v>
                </c:pt>
                <c:pt idx="6">
                  <c:v>T3-2019</c:v>
                </c:pt>
                <c:pt idx="7">
                  <c:v>T4-2019</c:v>
                </c:pt>
                <c:pt idx="8">
                  <c:v>T1-2020</c:v>
                </c:pt>
                <c:pt idx="9">
                  <c:v>T2-2020</c:v>
                </c:pt>
                <c:pt idx="10">
                  <c:v>T3-2020</c:v>
                </c:pt>
                <c:pt idx="11">
                  <c:v>T4-2020</c:v>
                </c:pt>
                <c:pt idx="12">
                  <c:v>T1-2021</c:v>
                </c:pt>
                <c:pt idx="13">
                  <c:v>T2-2021</c:v>
                </c:pt>
                <c:pt idx="14">
                  <c:v>T3-2021</c:v>
                </c:pt>
                <c:pt idx="15">
                  <c:v>T4-2021</c:v>
                </c:pt>
                <c:pt idx="16">
                  <c:v>T1-2022</c:v>
                </c:pt>
                <c:pt idx="17">
                  <c:v>T2-2022</c:v>
                </c:pt>
                <c:pt idx="18">
                  <c:v>T3-2022</c:v>
                </c:pt>
                <c:pt idx="19">
                  <c:v>T4 2022</c:v>
                </c:pt>
                <c:pt idx="20">
                  <c:v>T1 2023</c:v>
                </c:pt>
              </c:strCache>
            </c:strRef>
          </c:cat>
          <c:val>
            <c:numRef>
              <c:f>CALCUL!$B$57:$V$57</c:f>
              <c:numCache>
                <c:formatCode>General</c:formatCode>
                <c:ptCount val="21"/>
                <c:pt idx="0">
                  <c:v>79.941023021557669</c:v>
                </c:pt>
                <c:pt idx="1">
                  <c:v>90.090054255819368</c:v>
                </c:pt>
                <c:pt idx="2">
                  <c:v>89.18004200280923</c:v>
                </c:pt>
                <c:pt idx="3">
                  <c:v>106.4399546397335</c:v>
                </c:pt>
                <c:pt idx="4">
                  <c:v>78.612530544872868</c:v>
                </c:pt>
                <c:pt idx="5">
                  <c:v>148.26803862793111</c:v>
                </c:pt>
                <c:pt idx="6">
                  <c:v>176.12593917124059</c:v>
                </c:pt>
                <c:pt idx="7">
                  <c:v>164.68447462271081</c:v>
                </c:pt>
                <c:pt idx="8">
                  <c:v>121.38904436524207</c:v>
                </c:pt>
                <c:pt idx="9">
                  <c:v>132.2016605853417</c:v>
                </c:pt>
                <c:pt idx="10">
                  <c:v>106.8222479356222</c:v>
                </c:pt>
                <c:pt idx="11">
                  <c:v>164.60202758544455</c:v>
                </c:pt>
                <c:pt idx="12">
                  <c:v>123.65400507555511</c:v>
                </c:pt>
                <c:pt idx="13">
                  <c:v>136.62925064894964</c:v>
                </c:pt>
                <c:pt idx="14">
                  <c:v>131.03769166108697</c:v>
                </c:pt>
                <c:pt idx="15">
                  <c:v>124.12386046074305</c:v>
                </c:pt>
                <c:pt idx="16">
                  <c:v>124.69198465656387</c:v>
                </c:pt>
                <c:pt idx="17">
                  <c:v>88.755926971647625</c:v>
                </c:pt>
                <c:pt idx="18">
                  <c:v>131.76932024133802</c:v>
                </c:pt>
                <c:pt idx="19">
                  <c:v>189.46621357658933</c:v>
                </c:pt>
                <c:pt idx="20">
                  <c:v>126.74394923706873</c:v>
                </c:pt>
              </c:numCache>
            </c:numRef>
          </c:val>
          <c:smooth val="0"/>
          <c:extLst>
            <c:ext xmlns:c16="http://schemas.microsoft.com/office/drawing/2014/chart" uri="{C3380CC4-5D6E-409C-BE32-E72D297353CC}">
              <c16:uniqueId val="{00000000-19B4-4D8E-A575-3BC3AB5C193D}"/>
            </c:ext>
          </c:extLst>
        </c:ser>
        <c:dLbls>
          <c:showLegendKey val="0"/>
          <c:showVal val="0"/>
          <c:showCatName val="0"/>
          <c:showSerName val="0"/>
          <c:showPercent val="0"/>
          <c:showBubbleSize val="0"/>
        </c:dLbls>
        <c:smooth val="0"/>
        <c:axId val="965033247"/>
        <c:axId val="965039487"/>
      </c:lineChart>
      <c:catAx>
        <c:axId val="965033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65039487"/>
        <c:crosses val="autoZero"/>
        <c:auto val="1"/>
        <c:lblAlgn val="ctr"/>
        <c:lblOffset val="100"/>
        <c:noMultiLvlLbl val="0"/>
      </c:catAx>
      <c:valAx>
        <c:axId val="9650394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65033247"/>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none"/>
          </c:marker>
          <c:cat>
            <c:strRef>
              <c:f>CALCUL!$B$36:$V$36</c:f>
              <c:strCache>
                <c:ptCount val="21"/>
                <c:pt idx="0">
                  <c:v>T1-2018</c:v>
                </c:pt>
                <c:pt idx="1">
                  <c:v>T2-2018</c:v>
                </c:pt>
                <c:pt idx="2">
                  <c:v>T3-2018</c:v>
                </c:pt>
                <c:pt idx="3">
                  <c:v>T4-2018</c:v>
                </c:pt>
                <c:pt idx="4">
                  <c:v>T1-2019</c:v>
                </c:pt>
                <c:pt idx="5">
                  <c:v>T2-2019</c:v>
                </c:pt>
                <c:pt idx="6">
                  <c:v>T3-2019</c:v>
                </c:pt>
                <c:pt idx="7">
                  <c:v>T4-2019</c:v>
                </c:pt>
                <c:pt idx="8">
                  <c:v>T1-2020</c:v>
                </c:pt>
                <c:pt idx="9">
                  <c:v>T2-2020</c:v>
                </c:pt>
                <c:pt idx="10">
                  <c:v>T3-2020</c:v>
                </c:pt>
                <c:pt idx="11">
                  <c:v>T4-2020</c:v>
                </c:pt>
                <c:pt idx="12">
                  <c:v>T1-2021</c:v>
                </c:pt>
                <c:pt idx="13">
                  <c:v>T2-2021</c:v>
                </c:pt>
                <c:pt idx="14">
                  <c:v>T3-2021</c:v>
                </c:pt>
                <c:pt idx="15">
                  <c:v>T4-2021</c:v>
                </c:pt>
                <c:pt idx="16">
                  <c:v>T1-2022</c:v>
                </c:pt>
                <c:pt idx="17">
                  <c:v>T2-2022</c:v>
                </c:pt>
                <c:pt idx="18">
                  <c:v>T3-2022</c:v>
                </c:pt>
                <c:pt idx="19">
                  <c:v>T4 2022</c:v>
                </c:pt>
                <c:pt idx="20">
                  <c:v>T1 2023</c:v>
                </c:pt>
              </c:strCache>
            </c:strRef>
          </c:cat>
          <c:val>
            <c:numRef>
              <c:f>CALCUL!$B$37:$V$37</c:f>
              <c:numCache>
                <c:formatCode>General</c:formatCode>
                <c:ptCount val="21"/>
                <c:pt idx="0">
                  <c:v>99.233581883427831</c:v>
                </c:pt>
                <c:pt idx="1">
                  <c:v>112.61001870573757</c:v>
                </c:pt>
                <c:pt idx="2">
                  <c:v>122.03032178570223</c:v>
                </c:pt>
                <c:pt idx="3">
                  <c:v>120.37000322398688</c:v>
                </c:pt>
                <c:pt idx="4">
                  <c:v>120.75608950422868</c:v>
                </c:pt>
                <c:pt idx="5">
                  <c:v>125.00524167817393</c:v>
                </c:pt>
                <c:pt idx="6">
                  <c:v>147.84526772055153</c:v>
                </c:pt>
                <c:pt idx="7">
                  <c:v>156.82439203258525</c:v>
                </c:pt>
                <c:pt idx="8">
                  <c:v>164.04397594630967</c:v>
                </c:pt>
                <c:pt idx="9">
                  <c:v>137.13671530053145</c:v>
                </c:pt>
                <c:pt idx="10">
                  <c:v>117.63903226182724</c:v>
                </c:pt>
                <c:pt idx="11">
                  <c:v>142.49366870351508</c:v>
                </c:pt>
                <c:pt idx="12">
                  <c:v>115.4583652708142</c:v>
                </c:pt>
                <c:pt idx="13">
                  <c:v>124.73997076260956</c:v>
                </c:pt>
                <c:pt idx="14">
                  <c:v>152.56864943508668</c:v>
                </c:pt>
                <c:pt idx="15">
                  <c:v>124.07406670111385</c:v>
                </c:pt>
                <c:pt idx="16">
                  <c:v>158.19621174367708</c:v>
                </c:pt>
                <c:pt idx="17">
                  <c:v>154.17147510265085</c:v>
                </c:pt>
                <c:pt idx="18">
                  <c:v>99.315380494240699</c:v>
                </c:pt>
                <c:pt idx="19">
                  <c:v>97.722996639493843</c:v>
                </c:pt>
                <c:pt idx="20">
                  <c:v>115.01898896358445</c:v>
                </c:pt>
              </c:numCache>
            </c:numRef>
          </c:val>
          <c:smooth val="0"/>
          <c:extLst>
            <c:ext xmlns:c16="http://schemas.microsoft.com/office/drawing/2014/chart" uri="{C3380CC4-5D6E-409C-BE32-E72D297353CC}">
              <c16:uniqueId val="{00000000-0299-4D22-ABDC-42FB8C079946}"/>
            </c:ext>
          </c:extLst>
        </c:ser>
        <c:dLbls>
          <c:showLegendKey val="0"/>
          <c:showVal val="0"/>
          <c:showCatName val="0"/>
          <c:showSerName val="0"/>
          <c:showPercent val="0"/>
          <c:showBubbleSize val="0"/>
        </c:dLbls>
        <c:smooth val="0"/>
        <c:axId val="1952535552"/>
        <c:axId val="1952546784"/>
      </c:lineChart>
      <c:catAx>
        <c:axId val="195253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2546784"/>
        <c:crosses val="autoZero"/>
        <c:auto val="1"/>
        <c:lblAlgn val="ctr"/>
        <c:lblOffset val="100"/>
        <c:noMultiLvlLbl val="0"/>
      </c:catAx>
      <c:valAx>
        <c:axId val="1952546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2535552"/>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none"/>
          </c:marker>
          <c:cat>
            <c:strRef>
              <c:f>CALCUL!$B$96:$V$96</c:f>
              <c:strCache>
                <c:ptCount val="21"/>
                <c:pt idx="0">
                  <c:v>T1-2018</c:v>
                </c:pt>
                <c:pt idx="1">
                  <c:v>T2-2018</c:v>
                </c:pt>
                <c:pt idx="2">
                  <c:v>T3-2018</c:v>
                </c:pt>
                <c:pt idx="3">
                  <c:v>T4-2018</c:v>
                </c:pt>
                <c:pt idx="4">
                  <c:v>T1-2019</c:v>
                </c:pt>
                <c:pt idx="5">
                  <c:v>T2-2019</c:v>
                </c:pt>
                <c:pt idx="6">
                  <c:v>T3-2019</c:v>
                </c:pt>
                <c:pt idx="7">
                  <c:v>T4-2019</c:v>
                </c:pt>
                <c:pt idx="8">
                  <c:v>T1-2020</c:v>
                </c:pt>
                <c:pt idx="9">
                  <c:v>T2-2020</c:v>
                </c:pt>
                <c:pt idx="10">
                  <c:v>T3-2020</c:v>
                </c:pt>
                <c:pt idx="11">
                  <c:v>T4-2020</c:v>
                </c:pt>
                <c:pt idx="12">
                  <c:v>T1-2021</c:v>
                </c:pt>
                <c:pt idx="13">
                  <c:v>T2-2021</c:v>
                </c:pt>
                <c:pt idx="14">
                  <c:v>T3-2021</c:v>
                </c:pt>
                <c:pt idx="15">
                  <c:v>T4-2021</c:v>
                </c:pt>
                <c:pt idx="16">
                  <c:v>T1-2022</c:v>
                </c:pt>
                <c:pt idx="17">
                  <c:v>T2-2022</c:v>
                </c:pt>
                <c:pt idx="18">
                  <c:v>T3-2022</c:v>
                </c:pt>
                <c:pt idx="19">
                  <c:v>T4 2022</c:v>
                </c:pt>
                <c:pt idx="20">
                  <c:v>T1 2023</c:v>
                </c:pt>
              </c:strCache>
            </c:strRef>
          </c:cat>
          <c:val>
            <c:numRef>
              <c:f>CALCUL!$B$97:$V$97</c:f>
              <c:numCache>
                <c:formatCode>General</c:formatCode>
                <c:ptCount val="21"/>
                <c:pt idx="0">
                  <c:v>100.95534036535697</c:v>
                </c:pt>
                <c:pt idx="1">
                  <c:v>124.15792410261803</c:v>
                </c:pt>
                <c:pt idx="2">
                  <c:v>127.58599758606677</c:v>
                </c:pt>
                <c:pt idx="3">
                  <c:v>130.88458051476553</c:v>
                </c:pt>
                <c:pt idx="4">
                  <c:v>137.46490302420139</c:v>
                </c:pt>
                <c:pt idx="5">
                  <c:v>132.3520383391953</c:v>
                </c:pt>
                <c:pt idx="6">
                  <c:v>162.91865737375318</c:v>
                </c:pt>
                <c:pt idx="7">
                  <c:v>175.12137179569103</c:v>
                </c:pt>
                <c:pt idx="8">
                  <c:v>184.91920875034498</c:v>
                </c:pt>
                <c:pt idx="9">
                  <c:v>141.04305916086571</c:v>
                </c:pt>
                <c:pt idx="10">
                  <c:v>141.04305916086571</c:v>
                </c:pt>
                <c:pt idx="11">
                  <c:v>140.86682015132351</c:v>
                </c:pt>
                <c:pt idx="12">
                  <c:v>135.63547852803154</c:v>
                </c:pt>
                <c:pt idx="13">
                  <c:v>151.23911272256797</c:v>
                </c:pt>
                <c:pt idx="14">
                  <c:v>118.84797028581765</c:v>
                </c:pt>
                <c:pt idx="15">
                  <c:v>113.27061862161354</c:v>
                </c:pt>
                <c:pt idx="16">
                  <c:v>172.57156284286324</c:v>
                </c:pt>
                <c:pt idx="17">
                  <c:v>203.1499041649877</c:v>
                </c:pt>
                <c:pt idx="18">
                  <c:v>110.97820114367212</c:v>
                </c:pt>
                <c:pt idx="19">
                  <c:v>74.412017159604034</c:v>
                </c:pt>
                <c:pt idx="20">
                  <c:v>132.71410053492437</c:v>
                </c:pt>
              </c:numCache>
            </c:numRef>
          </c:val>
          <c:smooth val="0"/>
          <c:extLst>
            <c:ext xmlns:c16="http://schemas.microsoft.com/office/drawing/2014/chart" uri="{C3380CC4-5D6E-409C-BE32-E72D297353CC}">
              <c16:uniqueId val="{00000000-5ABE-4C2E-9982-A0B605DBC213}"/>
            </c:ext>
          </c:extLst>
        </c:ser>
        <c:dLbls>
          <c:showLegendKey val="0"/>
          <c:showVal val="0"/>
          <c:showCatName val="0"/>
          <c:showSerName val="0"/>
          <c:showPercent val="0"/>
          <c:showBubbleSize val="0"/>
        </c:dLbls>
        <c:smooth val="0"/>
        <c:axId val="1952541376"/>
        <c:axId val="1952543456"/>
      </c:lineChart>
      <c:catAx>
        <c:axId val="195254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2543456"/>
        <c:crosses val="autoZero"/>
        <c:auto val="1"/>
        <c:lblAlgn val="ctr"/>
        <c:lblOffset val="100"/>
        <c:noMultiLvlLbl val="0"/>
      </c:catAx>
      <c:valAx>
        <c:axId val="1952543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2541376"/>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none"/>
          </c:marker>
          <c:cat>
            <c:strRef>
              <c:f>'[Tableaux et graphiques Commerce T1_2023.xlsx]CALCUL'!$B$109:$V$109</c:f>
              <c:strCache>
                <c:ptCount val="21"/>
                <c:pt idx="0">
                  <c:v>T1-2018</c:v>
                </c:pt>
                <c:pt idx="1">
                  <c:v>T2-2018</c:v>
                </c:pt>
                <c:pt idx="2">
                  <c:v>T3-2018</c:v>
                </c:pt>
                <c:pt idx="3">
                  <c:v>T4-2018</c:v>
                </c:pt>
                <c:pt idx="4">
                  <c:v>T1-2019</c:v>
                </c:pt>
                <c:pt idx="5">
                  <c:v>T2-2019</c:v>
                </c:pt>
                <c:pt idx="6">
                  <c:v>T3-2019</c:v>
                </c:pt>
                <c:pt idx="7">
                  <c:v>T4-2019</c:v>
                </c:pt>
                <c:pt idx="8">
                  <c:v>T1-2020</c:v>
                </c:pt>
                <c:pt idx="9">
                  <c:v>T2-2020</c:v>
                </c:pt>
                <c:pt idx="10">
                  <c:v>T3-2020</c:v>
                </c:pt>
                <c:pt idx="11">
                  <c:v>T4-2020</c:v>
                </c:pt>
                <c:pt idx="12">
                  <c:v>T1-2021</c:v>
                </c:pt>
                <c:pt idx="13">
                  <c:v>T2-2021</c:v>
                </c:pt>
                <c:pt idx="14">
                  <c:v>T3-2021</c:v>
                </c:pt>
                <c:pt idx="15">
                  <c:v>T4-2021</c:v>
                </c:pt>
                <c:pt idx="16">
                  <c:v>T1-2022</c:v>
                </c:pt>
                <c:pt idx="17">
                  <c:v>T2-2022</c:v>
                </c:pt>
                <c:pt idx="18">
                  <c:v>T3-2022</c:v>
                </c:pt>
                <c:pt idx="19">
                  <c:v>T4 2022</c:v>
                </c:pt>
                <c:pt idx="20">
                  <c:v>T1-2023</c:v>
                </c:pt>
              </c:strCache>
            </c:strRef>
          </c:cat>
          <c:val>
            <c:numRef>
              <c:f>'[Tableaux et graphiques Commerce T1_2023.xlsx]CALCUL'!$B$110:$V$110</c:f>
              <c:numCache>
                <c:formatCode>0.0</c:formatCode>
                <c:ptCount val="21"/>
                <c:pt idx="0">
                  <c:v>103.42626633139032</c:v>
                </c:pt>
                <c:pt idx="1">
                  <c:v>95.111542960829624</c:v>
                </c:pt>
                <c:pt idx="2">
                  <c:v>104.20749084078254</c:v>
                </c:pt>
                <c:pt idx="3">
                  <c:v>97.329763112920958</c:v>
                </c:pt>
                <c:pt idx="4">
                  <c:v>119.66437391065625</c:v>
                </c:pt>
                <c:pt idx="5">
                  <c:v>111.17537825946036</c:v>
                </c:pt>
                <c:pt idx="6">
                  <c:v>122.34890068881477</c:v>
                </c:pt>
                <c:pt idx="7">
                  <c:v>120.71193408432578</c:v>
                </c:pt>
                <c:pt idx="8">
                  <c:v>119.12476229773759</c:v>
                </c:pt>
                <c:pt idx="9">
                  <c:v>109.35491159990585</c:v>
                </c:pt>
                <c:pt idx="10">
                  <c:v>107.74568726531845</c:v>
                </c:pt>
                <c:pt idx="11">
                  <c:v>111.03304173648728</c:v>
                </c:pt>
                <c:pt idx="12">
                  <c:v>122.07833211926415</c:v>
                </c:pt>
                <c:pt idx="13">
                  <c:v>131.08336204708627</c:v>
                </c:pt>
                <c:pt idx="14">
                  <c:v>128.42456359119726</c:v>
                </c:pt>
                <c:pt idx="15">
                  <c:v>101.69437952149254</c:v>
                </c:pt>
                <c:pt idx="16">
                  <c:v>125.28566883952662</c:v>
                </c:pt>
                <c:pt idx="17">
                  <c:v>114.88089743497102</c:v>
                </c:pt>
                <c:pt idx="18">
                  <c:v>132.93883066496892</c:v>
                </c:pt>
                <c:pt idx="19">
                  <c:v>133.34994536915693</c:v>
                </c:pt>
                <c:pt idx="20">
                  <c:v>149.44988622615492</c:v>
                </c:pt>
              </c:numCache>
            </c:numRef>
          </c:val>
          <c:smooth val="0"/>
          <c:extLst>
            <c:ext xmlns:c16="http://schemas.microsoft.com/office/drawing/2014/chart" uri="{C3380CC4-5D6E-409C-BE32-E72D297353CC}">
              <c16:uniqueId val="{00000000-F5A8-2F4A-B9AF-5D668ABF550B}"/>
            </c:ext>
          </c:extLst>
        </c:ser>
        <c:dLbls>
          <c:showLegendKey val="0"/>
          <c:showVal val="0"/>
          <c:showCatName val="0"/>
          <c:showSerName val="0"/>
          <c:showPercent val="0"/>
          <c:showBubbleSize val="0"/>
        </c:dLbls>
        <c:smooth val="0"/>
        <c:axId val="907729840"/>
        <c:axId val="907085792"/>
      </c:lineChart>
      <c:catAx>
        <c:axId val="907729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07085792"/>
        <c:crosses val="autoZero"/>
        <c:auto val="1"/>
        <c:lblAlgn val="ctr"/>
        <c:lblOffset val="100"/>
        <c:noMultiLvlLbl val="0"/>
      </c:catAx>
      <c:valAx>
        <c:axId val="9070857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07729840"/>
        <c:crosses val="autoZero"/>
        <c:crossBetween val="between"/>
      </c:valAx>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none"/>
          </c:marker>
          <c:cat>
            <c:strRef>
              <c:f>CALCUL!$B$75:$V$75</c:f>
              <c:strCache>
                <c:ptCount val="21"/>
                <c:pt idx="0">
                  <c:v>T1-2018</c:v>
                </c:pt>
                <c:pt idx="1">
                  <c:v>T2-2018</c:v>
                </c:pt>
                <c:pt idx="2">
                  <c:v>T3-2018</c:v>
                </c:pt>
                <c:pt idx="3">
                  <c:v>T4-2018</c:v>
                </c:pt>
                <c:pt idx="4">
                  <c:v>T1-2019</c:v>
                </c:pt>
                <c:pt idx="5">
                  <c:v>T2-2019</c:v>
                </c:pt>
                <c:pt idx="6">
                  <c:v>T3-2019</c:v>
                </c:pt>
                <c:pt idx="7">
                  <c:v>T4-2019</c:v>
                </c:pt>
                <c:pt idx="8">
                  <c:v>T1-2020</c:v>
                </c:pt>
                <c:pt idx="9">
                  <c:v>T2-2020</c:v>
                </c:pt>
                <c:pt idx="10">
                  <c:v>T3-2020</c:v>
                </c:pt>
                <c:pt idx="11">
                  <c:v>T4-2020</c:v>
                </c:pt>
                <c:pt idx="12">
                  <c:v>T1-2021</c:v>
                </c:pt>
                <c:pt idx="13">
                  <c:v>T2-2021</c:v>
                </c:pt>
                <c:pt idx="14">
                  <c:v>T3-2021</c:v>
                </c:pt>
                <c:pt idx="15">
                  <c:v>T4-2021</c:v>
                </c:pt>
                <c:pt idx="16">
                  <c:v>T1-2022</c:v>
                </c:pt>
                <c:pt idx="17">
                  <c:v>T2-2022</c:v>
                </c:pt>
                <c:pt idx="18">
                  <c:v>T3-2022</c:v>
                </c:pt>
                <c:pt idx="19">
                  <c:v>T4 2022</c:v>
                </c:pt>
                <c:pt idx="20">
                  <c:v>T1 2023</c:v>
                </c:pt>
              </c:strCache>
            </c:strRef>
          </c:cat>
          <c:val>
            <c:numRef>
              <c:f>CALCUL!$B$76:$V$76</c:f>
              <c:numCache>
                <c:formatCode>General</c:formatCode>
                <c:ptCount val="21"/>
                <c:pt idx="0">
                  <c:v>89.132920823511839</c:v>
                </c:pt>
                <c:pt idx="1">
                  <c:v>103.72326514054713</c:v>
                </c:pt>
                <c:pt idx="2">
                  <c:v>106.15344852453016</c:v>
                </c:pt>
                <c:pt idx="3">
                  <c:v>101.24268422087634</c:v>
                </c:pt>
                <c:pt idx="4">
                  <c:v>107.61065700345354</c:v>
                </c:pt>
                <c:pt idx="5">
                  <c:v>113.62228834160705</c:v>
                </c:pt>
                <c:pt idx="6">
                  <c:v>114.59595425691332</c:v>
                </c:pt>
                <c:pt idx="7">
                  <c:v>121.13061528145943</c:v>
                </c:pt>
                <c:pt idx="8">
                  <c:v>113.52124487827226</c:v>
                </c:pt>
                <c:pt idx="9">
                  <c:v>149.87535000610487</c:v>
                </c:pt>
                <c:pt idx="10">
                  <c:v>148.64472256793016</c:v>
                </c:pt>
                <c:pt idx="11">
                  <c:v>113.80110716300088</c:v>
                </c:pt>
                <c:pt idx="12">
                  <c:v>148.42410679975922</c:v>
                </c:pt>
                <c:pt idx="13">
                  <c:v>130.20981257233606</c:v>
                </c:pt>
                <c:pt idx="14">
                  <c:v>116.06123621864715</c:v>
                </c:pt>
                <c:pt idx="15">
                  <c:v>118.84309212803083</c:v>
                </c:pt>
                <c:pt idx="16">
                  <c:v>109.79073308619704</c:v>
                </c:pt>
                <c:pt idx="17">
                  <c:v>123.75293656532925</c:v>
                </c:pt>
                <c:pt idx="18">
                  <c:v>138.11528521365133</c:v>
                </c:pt>
                <c:pt idx="19">
                  <c:v>125.69955653985734</c:v>
                </c:pt>
                <c:pt idx="20">
                  <c:v>99.284881786453298</c:v>
                </c:pt>
              </c:numCache>
            </c:numRef>
          </c:val>
          <c:smooth val="0"/>
          <c:extLst>
            <c:ext xmlns:c16="http://schemas.microsoft.com/office/drawing/2014/chart" uri="{C3380CC4-5D6E-409C-BE32-E72D297353CC}">
              <c16:uniqueId val="{00000000-2447-452D-96C0-1DFC55AAB375}"/>
            </c:ext>
          </c:extLst>
        </c:ser>
        <c:dLbls>
          <c:showLegendKey val="0"/>
          <c:showVal val="0"/>
          <c:showCatName val="0"/>
          <c:showSerName val="0"/>
          <c:showPercent val="0"/>
          <c:showBubbleSize val="0"/>
        </c:dLbls>
        <c:smooth val="0"/>
        <c:axId val="1952538880"/>
        <c:axId val="1952540960"/>
      </c:lineChart>
      <c:catAx>
        <c:axId val="195253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2540960"/>
        <c:crosses val="autoZero"/>
        <c:auto val="1"/>
        <c:lblAlgn val="ctr"/>
        <c:lblOffset val="100"/>
        <c:noMultiLvlLbl val="0"/>
      </c:catAx>
      <c:valAx>
        <c:axId val="1952540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2538880"/>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373654712374928E-2"/>
          <c:y val="5.5555555555555552E-2"/>
          <c:w val="0.91369184747103116"/>
          <c:h val="0.82070116235470569"/>
        </c:manualLayout>
      </c:layout>
      <c:lineChart>
        <c:grouping val="stacked"/>
        <c:varyColors val="0"/>
        <c:ser>
          <c:idx val="0"/>
          <c:order val="0"/>
          <c:spPr>
            <a:ln w="28575" cap="rnd">
              <a:solidFill>
                <a:schemeClr val="accent1"/>
              </a:solidFill>
              <a:round/>
            </a:ln>
            <a:effectLst/>
          </c:spPr>
          <c:marker>
            <c:symbol val="none"/>
          </c:marker>
          <c:cat>
            <c:strRef>
              <c:f>CALCUL!$B$18:$V$18</c:f>
              <c:strCache>
                <c:ptCount val="21"/>
                <c:pt idx="0">
                  <c:v>T1 2018</c:v>
                </c:pt>
                <c:pt idx="1">
                  <c:v>T2 2018</c:v>
                </c:pt>
                <c:pt idx="2">
                  <c:v>T3 2018</c:v>
                </c:pt>
                <c:pt idx="3">
                  <c:v>T4 2018</c:v>
                </c:pt>
                <c:pt idx="4">
                  <c:v>T1 2019</c:v>
                </c:pt>
                <c:pt idx="5">
                  <c:v>T2 2019</c:v>
                </c:pt>
                <c:pt idx="6">
                  <c:v>T3 2019</c:v>
                </c:pt>
                <c:pt idx="7">
                  <c:v>T4 2019</c:v>
                </c:pt>
                <c:pt idx="8">
                  <c:v>T1 2020</c:v>
                </c:pt>
                <c:pt idx="9">
                  <c:v>T2 2020</c:v>
                </c:pt>
                <c:pt idx="10">
                  <c:v>T3 2020</c:v>
                </c:pt>
                <c:pt idx="11">
                  <c:v>T4 2020</c:v>
                </c:pt>
                <c:pt idx="12">
                  <c:v>T1 2021</c:v>
                </c:pt>
                <c:pt idx="13">
                  <c:v>T2 2021</c:v>
                </c:pt>
                <c:pt idx="14">
                  <c:v>T3 2021</c:v>
                </c:pt>
                <c:pt idx="15">
                  <c:v>T4 2021</c:v>
                </c:pt>
                <c:pt idx="16">
                  <c:v>T1 2022</c:v>
                </c:pt>
                <c:pt idx="17">
                  <c:v>T2 2022</c:v>
                </c:pt>
                <c:pt idx="18">
                  <c:v>T3 2022</c:v>
                </c:pt>
                <c:pt idx="19">
                  <c:v>T4 2022</c:v>
                </c:pt>
                <c:pt idx="20">
                  <c:v>T1 2023</c:v>
                </c:pt>
              </c:strCache>
            </c:strRef>
          </c:cat>
          <c:val>
            <c:numRef>
              <c:f>CALCUL!$B$19:$V$19</c:f>
              <c:numCache>
                <c:formatCode>General</c:formatCode>
                <c:ptCount val="21"/>
                <c:pt idx="0">
                  <c:v>75.370681289780009</c:v>
                </c:pt>
                <c:pt idx="1">
                  <c:v>89.447846339513404</c:v>
                </c:pt>
                <c:pt idx="2">
                  <c:v>100.12918528977694</c:v>
                </c:pt>
                <c:pt idx="3">
                  <c:v>110.28015346971166</c:v>
                </c:pt>
                <c:pt idx="4">
                  <c:v>87.212320173512239</c:v>
                </c:pt>
                <c:pt idx="5">
                  <c:v>106.39805223395882</c:v>
                </c:pt>
                <c:pt idx="6">
                  <c:v>110.1394484629019</c:v>
                </c:pt>
                <c:pt idx="7">
                  <c:v>102.61863570630908</c:v>
                </c:pt>
                <c:pt idx="8">
                  <c:v>98.934660300017953</c:v>
                </c:pt>
                <c:pt idx="9">
                  <c:v>120.13012358405166</c:v>
                </c:pt>
                <c:pt idx="10">
                  <c:v>113.23416373753371</c:v>
                </c:pt>
                <c:pt idx="11">
                  <c:v>135.51310025851265</c:v>
                </c:pt>
                <c:pt idx="12">
                  <c:v>117.53508732966962</c:v>
                </c:pt>
                <c:pt idx="13">
                  <c:v>104.61048136040289</c:v>
                </c:pt>
                <c:pt idx="14">
                  <c:v>150.28118587425286</c:v>
                </c:pt>
                <c:pt idx="15">
                  <c:v>171.25926409921053</c:v>
                </c:pt>
                <c:pt idx="16">
                  <c:v>118.917171536952</c:v>
                </c:pt>
                <c:pt idx="17">
                  <c:v>160.35726234473049</c:v>
                </c:pt>
                <c:pt idx="18">
                  <c:v>160.05337293176282</c:v>
                </c:pt>
                <c:pt idx="19">
                  <c:v>179.74035221388894</c:v>
                </c:pt>
                <c:pt idx="20">
                  <c:v>150.35172716990874</c:v>
                </c:pt>
              </c:numCache>
            </c:numRef>
          </c:val>
          <c:smooth val="0"/>
          <c:extLst>
            <c:ext xmlns:c16="http://schemas.microsoft.com/office/drawing/2014/chart" uri="{C3380CC4-5D6E-409C-BE32-E72D297353CC}">
              <c16:uniqueId val="{00000000-DA5D-4F0A-8738-C333BA968BE4}"/>
            </c:ext>
          </c:extLst>
        </c:ser>
        <c:dLbls>
          <c:showLegendKey val="0"/>
          <c:showVal val="0"/>
          <c:showCatName val="0"/>
          <c:showSerName val="0"/>
          <c:showPercent val="0"/>
          <c:showBubbleSize val="0"/>
        </c:dLbls>
        <c:smooth val="0"/>
        <c:axId val="458011200"/>
        <c:axId val="796214352"/>
      </c:lineChart>
      <c:catAx>
        <c:axId val="458011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96214352"/>
        <c:crosses val="autoZero"/>
        <c:auto val="1"/>
        <c:lblAlgn val="ctr"/>
        <c:lblOffset val="100"/>
        <c:noMultiLvlLbl val="0"/>
      </c:catAx>
      <c:valAx>
        <c:axId val="796214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58011200"/>
        <c:crosses val="autoZero"/>
        <c:crossBetween val="between"/>
      </c:valAx>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444911943259004E-2"/>
          <c:y val="5.0925925925925923E-2"/>
          <c:w val="0.84631844683536706"/>
          <c:h val="0.79081802274715662"/>
        </c:manualLayout>
      </c:layout>
      <c:lineChart>
        <c:grouping val="stacked"/>
        <c:varyColors val="0"/>
        <c:ser>
          <c:idx val="0"/>
          <c:order val="0"/>
          <c:spPr>
            <a:ln w="28575" cap="rnd">
              <a:solidFill>
                <a:schemeClr val="accent1"/>
              </a:solidFill>
              <a:round/>
            </a:ln>
            <a:effectLst/>
          </c:spPr>
          <c:marker>
            <c:symbol val="none"/>
          </c:marker>
          <c:cat>
            <c:strRef>
              <c:f>CALCUL!$B$39:$V$39</c:f>
              <c:strCache>
                <c:ptCount val="21"/>
                <c:pt idx="0">
                  <c:v>T1 2018</c:v>
                </c:pt>
                <c:pt idx="1">
                  <c:v>T2 2018</c:v>
                </c:pt>
                <c:pt idx="2">
                  <c:v>T3 2018</c:v>
                </c:pt>
                <c:pt idx="3">
                  <c:v>T4 2018</c:v>
                </c:pt>
                <c:pt idx="4">
                  <c:v>T1 2019</c:v>
                </c:pt>
                <c:pt idx="5">
                  <c:v>T2 2019</c:v>
                </c:pt>
                <c:pt idx="6">
                  <c:v>T3 2019</c:v>
                </c:pt>
                <c:pt idx="7">
                  <c:v>T4 2019</c:v>
                </c:pt>
                <c:pt idx="8">
                  <c:v>T1 2020</c:v>
                </c:pt>
                <c:pt idx="9">
                  <c:v>T2 2020</c:v>
                </c:pt>
                <c:pt idx="10">
                  <c:v>T3 2020</c:v>
                </c:pt>
                <c:pt idx="11">
                  <c:v>T4 2020</c:v>
                </c:pt>
                <c:pt idx="12">
                  <c:v>T1 2021</c:v>
                </c:pt>
                <c:pt idx="13">
                  <c:v>T2 2021</c:v>
                </c:pt>
                <c:pt idx="14">
                  <c:v>T3 2021</c:v>
                </c:pt>
                <c:pt idx="15">
                  <c:v>T4 2021</c:v>
                </c:pt>
                <c:pt idx="16">
                  <c:v>T1 2022</c:v>
                </c:pt>
                <c:pt idx="17">
                  <c:v>T2 2022</c:v>
                </c:pt>
                <c:pt idx="18">
                  <c:v>T3 2022</c:v>
                </c:pt>
                <c:pt idx="19">
                  <c:v>T4 2022</c:v>
                </c:pt>
                <c:pt idx="20">
                  <c:v>T1 2023</c:v>
                </c:pt>
              </c:strCache>
            </c:strRef>
          </c:cat>
          <c:val>
            <c:numRef>
              <c:f>CALCUL!$B$40:$V$40</c:f>
              <c:numCache>
                <c:formatCode>General</c:formatCode>
                <c:ptCount val="21"/>
                <c:pt idx="0">
                  <c:v>46.216424014663872</c:v>
                </c:pt>
                <c:pt idx="1">
                  <c:v>59.427913071108023</c:v>
                </c:pt>
                <c:pt idx="2">
                  <c:v>57.475342308571022</c:v>
                </c:pt>
                <c:pt idx="3">
                  <c:v>48.599557949033617</c:v>
                </c:pt>
                <c:pt idx="4">
                  <c:v>41.361181577637339</c:v>
                </c:pt>
                <c:pt idx="5">
                  <c:v>130.69051447421197</c:v>
                </c:pt>
                <c:pt idx="6">
                  <c:v>105.47853820522026</c:v>
                </c:pt>
                <c:pt idx="7">
                  <c:v>101.45801339151505</c:v>
                </c:pt>
                <c:pt idx="8">
                  <c:v>101.88199569263654</c:v>
                </c:pt>
                <c:pt idx="9">
                  <c:v>109.35821924246984</c:v>
                </c:pt>
                <c:pt idx="10">
                  <c:v>50.239743086758814</c:v>
                </c:pt>
                <c:pt idx="11">
                  <c:v>122.91440087637599</c:v>
                </c:pt>
                <c:pt idx="12">
                  <c:v>52.679228122252994</c:v>
                </c:pt>
                <c:pt idx="13">
                  <c:v>87.237836594950437</c:v>
                </c:pt>
                <c:pt idx="14">
                  <c:v>40.39400760057152</c:v>
                </c:pt>
                <c:pt idx="15">
                  <c:v>43.234915076630251</c:v>
                </c:pt>
                <c:pt idx="16">
                  <c:v>42.997953546589677</c:v>
                </c:pt>
                <c:pt idx="17">
                  <c:v>49.091809151406672</c:v>
                </c:pt>
                <c:pt idx="18">
                  <c:v>52.477933165408217</c:v>
                </c:pt>
                <c:pt idx="19">
                  <c:v>54.08626242972511</c:v>
                </c:pt>
                <c:pt idx="20">
                  <c:v>51.172210529168694</c:v>
                </c:pt>
              </c:numCache>
            </c:numRef>
          </c:val>
          <c:smooth val="0"/>
          <c:extLst>
            <c:ext xmlns:c16="http://schemas.microsoft.com/office/drawing/2014/chart" uri="{C3380CC4-5D6E-409C-BE32-E72D297353CC}">
              <c16:uniqueId val="{00000000-8A47-4461-91A1-09AFA9F58886}"/>
            </c:ext>
          </c:extLst>
        </c:ser>
        <c:dLbls>
          <c:showLegendKey val="0"/>
          <c:showVal val="0"/>
          <c:showCatName val="0"/>
          <c:showSerName val="0"/>
          <c:showPercent val="0"/>
          <c:showBubbleSize val="0"/>
        </c:dLbls>
        <c:smooth val="0"/>
        <c:axId val="2129265215"/>
        <c:axId val="2129269375"/>
      </c:lineChart>
      <c:catAx>
        <c:axId val="2129265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269375"/>
        <c:crosses val="autoZero"/>
        <c:auto val="1"/>
        <c:lblAlgn val="ctr"/>
        <c:lblOffset val="100"/>
        <c:noMultiLvlLbl val="0"/>
      </c:catAx>
      <c:valAx>
        <c:axId val="2129269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265215"/>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549013113322595E-2"/>
          <c:y val="5.0925925925925923E-2"/>
          <c:w val="0.80969572876048257"/>
          <c:h val="0.79081802274715662"/>
        </c:manualLayout>
      </c:layout>
      <c:lineChart>
        <c:grouping val="stacked"/>
        <c:varyColors val="0"/>
        <c:ser>
          <c:idx val="0"/>
          <c:order val="0"/>
          <c:spPr>
            <a:ln w="28575" cap="rnd">
              <a:solidFill>
                <a:schemeClr val="accent1"/>
              </a:solidFill>
              <a:round/>
            </a:ln>
            <a:effectLst/>
          </c:spPr>
          <c:marker>
            <c:symbol val="none"/>
          </c:marker>
          <c:cat>
            <c:strRef>
              <c:f>CALCUL!$B$57:$V$57</c:f>
              <c:strCache>
                <c:ptCount val="21"/>
                <c:pt idx="0">
                  <c:v>T1 2018</c:v>
                </c:pt>
                <c:pt idx="1">
                  <c:v>T2 2018</c:v>
                </c:pt>
                <c:pt idx="2">
                  <c:v>T3 2018</c:v>
                </c:pt>
                <c:pt idx="3">
                  <c:v>T4 2018</c:v>
                </c:pt>
                <c:pt idx="4">
                  <c:v>T1 2019</c:v>
                </c:pt>
                <c:pt idx="5">
                  <c:v>T2 2019</c:v>
                </c:pt>
                <c:pt idx="6">
                  <c:v>T3 2019</c:v>
                </c:pt>
                <c:pt idx="7">
                  <c:v>T4 2019</c:v>
                </c:pt>
                <c:pt idx="8">
                  <c:v>T1 2020</c:v>
                </c:pt>
                <c:pt idx="9">
                  <c:v>T2 2020</c:v>
                </c:pt>
                <c:pt idx="10">
                  <c:v>T3 2020</c:v>
                </c:pt>
                <c:pt idx="11">
                  <c:v>T4 2020</c:v>
                </c:pt>
                <c:pt idx="12">
                  <c:v>T1 2021</c:v>
                </c:pt>
                <c:pt idx="13">
                  <c:v>T2 2021</c:v>
                </c:pt>
                <c:pt idx="14">
                  <c:v>T3 2021</c:v>
                </c:pt>
                <c:pt idx="15">
                  <c:v>T4 2021</c:v>
                </c:pt>
                <c:pt idx="16">
                  <c:v>T1 2022</c:v>
                </c:pt>
                <c:pt idx="17">
                  <c:v>T2 2022</c:v>
                </c:pt>
                <c:pt idx="18">
                  <c:v>T3 2022</c:v>
                </c:pt>
                <c:pt idx="19">
                  <c:v>T4 2022</c:v>
                </c:pt>
                <c:pt idx="20">
                  <c:v>T1 2023</c:v>
                </c:pt>
              </c:strCache>
            </c:strRef>
          </c:cat>
          <c:val>
            <c:numRef>
              <c:f>CALCUL!$B$58:$V$58</c:f>
              <c:numCache>
                <c:formatCode>General</c:formatCode>
                <c:ptCount val="21"/>
                <c:pt idx="0">
                  <c:v>87.693806896075728</c:v>
                </c:pt>
                <c:pt idx="1">
                  <c:v>95.017953813860913</c:v>
                </c:pt>
                <c:pt idx="2">
                  <c:v>97.933767998203109</c:v>
                </c:pt>
                <c:pt idx="3">
                  <c:v>105.77417461937534</c:v>
                </c:pt>
                <c:pt idx="4">
                  <c:v>105.78938964909503</c:v>
                </c:pt>
                <c:pt idx="5">
                  <c:v>103.62389547799157</c:v>
                </c:pt>
                <c:pt idx="6">
                  <c:v>109.98445323831336</c:v>
                </c:pt>
                <c:pt idx="7">
                  <c:v>131.89179351437886</c:v>
                </c:pt>
                <c:pt idx="8">
                  <c:v>98.043637831155536</c:v>
                </c:pt>
                <c:pt idx="9">
                  <c:v>38.641727001844565</c:v>
                </c:pt>
                <c:pt idx="10">
                  <c:v>48.897409645346023</c:v>
                </c:pt>
                <c:pt idx="11">
                  <c:v>109.43441513820552</c:v>
                </c:pt>
                <c:pt idx="12">
                  <c:v>109.47059246703579</c:v>
                </c:pt>
                <c:pt idx="13">
                  <c:v>123.77966724944541</c:v>
                </c:pt>
                <c:pt idx="14">
                  <c:v>146.82400760842893</c:v>
                </c:pt>
                <c:pt idx="15">
                  <c:v>200.42098500964516</c:v>
                </c:pt>
                <c:pt idx="16">
                  <c:v>166.77865037121055</c:v>
                </c:pt>
                <c:pt idx="17">
                  <c:v>179.72109693120547</c:v>
                </c:pt>
                <c:pt idx="18">
                  <c:v>256.47837812035033</c:v>
                </c:pt>
                <c:pt idx="19">
                  <c:v>262.22716862451711</c:v>
                </c:pt>
                <c:pt idx="20">
                  <c:v>231.20080910180974</c:v>
                </c:pt>
              </c:numCache>
            </c:numRef>
          </c:val>
          <c:smooth val="0"/>
          <c:extLst>
            <c:ext xmlns:c16="http://schemas.microsoft.com/office/drawing/2014/chart" uri="{C3380CC4-5D6E-409C-BE32-E72D297353CC}">
              <c16:uniqueId val="{00000000-A6A7-4DB1-A238-5EBD59EC0A29}"/>
            </c:ext>
          </c:extLst>
        </c:ser>
        <c:dLbls>
          <c:showLegendKey val="0"/>
          <c:showVal val="0"/>
          <c:showCatName val="0"/>
          <c:showSerName val="0"/>
          <c:showPercent val="0"/>
          <c:showBubbleSize val="0"/>
        </c:dLbls>
        <c:smooth val="0"/>
        <c:axId val="2129520479"/>
        <c:axId val="2129523807"/>
      </c:lineChart>
      <c:catAx>
        <c:axId val="2129520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523807"/>
        <c:crosses val="autoZero"/>
        <c:auto val="1"/>
        <c:lblAlgn val="ctr"/>
        <c:lblOffset val="100"/>
        <c:noMultiLvlLbl val="0"/>
      </c:catAx>
      <c:valAx>
        <c:axId val="21295238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9520479"/>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0B8075-BE3C-4F53-AC51-008C6DB65B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4865</Words>
  <Characters>26758</Characters>
  <Application>Microsoft Office Word</Application>
  <DocSecurity>0</DocSecurity>
  <Lines>222</Lines>
  <Paragraphs>63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ISTEEBU</cp:lastModifiedBy>
  <cp:revision>2</cp:revision>
  <cp:lastPrinted>2019-08-20T07:30:00Z</cp:lastPrinted>
  <dcterms:created xsi:type="dcterms:W3CDTF">2023-05-29T18:16:00Z</dcterms:created>
  <dcterms:modified xsi:type="dcterms:W3CDTF">2023-05-29T18:16:00Z</dcterms:modified>
</cp:coreProperties>
</file>