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ahoma" w:hAnsi="Tahoma" w:cs="Tahoma"/>
          <w:sz w:val="28"/>
          <w:szCs w:val="28"/>
        </w:rPr>
        <w:id w:val="-917476006"/>
        <w:docPartObj>
          <w:docPartGallery w:val="Cover Pages"/>
          <w:docPartUnique/>
        </w:docPartObj>
      </w:sdtPr>
      <w:sdtEndPr>
        <w:rPr>
          <w:rFonts w:ascii="Times New Roman" w:hAnsi="Times New Roman" w:cs="Times New Roman"/>
          <w:b/>
          <w:bCs/>
          <w:sz w:val="24"/>
          <w:szCs w:val="24"/>
        </w:rPr>
      </w:sdtEndPr>
      <w:sdtContent>
        <w:p w:rsidR="00B34192" w:rsidRPr="00C73671" w:rsidRDefault="00B34192" w:rsidP="00B34192">
          <w:pPr>
            <w:tabs>
              <w:tab w:val="left" w:pos="2694"/>
            </w:tabs>
            <w:spacing w:after="0" w:line="240" w:lineRule="auto"/>
            <w:jc w:val="center"/>
            <w:rPr>
              <w:rFonts w:ascii="Times New Roman" w:hAnsi="Times New Roman" w:cs="Times New Roman"/>
              <w:b/>
              <w:caps/>
              <w:noProof/>
              <w:sz w:val="28"/>
              <w:szCs w:val="28"/>
              <w:lang w:val="rw-RW" w:eastAsia="rw-RW"/>
            </w:rPr>
          </w:pPr>
          <w:r w:rsidRPr="00C73671">
            <w:rPr>
              <w:rFonts w:ascii="Times New Roman" w:hAnsi="Times New Roman" w:cs="Times New Roman"/>
              <w:b/>
              <w:caps/>
              <w:noProof/>
              <w:sz w:val="28"/>
              <w:szCs w:val="28"/>
              <w:lang w:val="rw-RW" w:eastAsia="rw-RW"/>
            </w:rPr>
            <w:t xml:space="preserve">Institut NATIONAL DE LA STATISTIQUE </w:t>
          </w:r>
        </w:p>
        <w:p w:rsidR="00B34192" w:rsidRPr="00C73671" w:rsidRDefault="00B34192" w:rsidP="00B34192">
          <w:pPr>
            <w:tabs>
              <w:tab w:val="left" w:pos="2694"/>
            </w:tabs>
            <w:spacing w:after="0" w:line="240" w:lineRule="auto"/>
            <w:jc w:val="center"/>
            <w:rPr>
              <w:rFonts w:ascii="Times New Roman" w:hAnsi="Times New Roman" w:cs="Times New Roman"/>
              <w:b/>
              <w:caps/>
              <w:noProof/>
              <w:sz w:val="28"/>
              <w:szCs w:val="28"/>
              <w:lang w:val="rw-RW" w:eastAsia="rw-RW"/>
            </w:rPr>
          </w:pPr>
          <w:r w:rsidRPr="00C73671">
            <w:rPr>
              <w:rFonts w:ascii="Times New Roman" w:hAnsi="Times New Roman" w:cs="Times New Roman"/>
              <w:b/>
              <w:caps/>
              <w:noProof/>
              <w:sz w:val="28"/>
              <w:szCs w:val="28"/>
              <w:lang w:val="rw-RW" w:eastAsia="rw-RW"/>
            </w:rPr>
            <w:t xml:space="preserve"> du Burundi</w:t>
          </w:r>
        </w:p>
        <w:p w:rsidR="00B34192" w:rsidRPr="00597E27" w:rsidRDefault="00B34192" w:rsidP="00B34192">
          <w:pPr>
            <w:pStyle w:val="En-tte"/>
            <w:rPr>
              <w:rFonts w:ascii="Tahoma" w:hAnsi="Tahoma" w:cs="Tahoma"/>
              <w:b/>
              <w:caps/>
              <w:noProof/>
              <w:sz w:val="24"/>
              <w:szCs w:val="24"/>
              <w:lang w:eastAsia="rw-RW"/>
            </w:rPr>
          </w:pPr>
        </w:p>
        <w:p w:rsidR="00B34192" w:rsidRPr="00597E27" w:rsidRDefault="00B34192" w:rsidP="00B34192">
          <w:pPr>
            <w:pStyle w:val="En-tte"/>
            <w:rPr>
              <w:rFonts w:ascii="Tahoma" w:hAnsi="Tahoma" w:cs="Tahoma"/>
              <w:b/>
              <w:caps/>
              <w:noProof/>
              <w:sz w:val="24"/>
              <w:szCs w:val="24"/>
              <w:lang w:eastAsia="rw-RW"/>
            </w:rPr>
          </w:pPr>
          <w:r>
            <w:rPr>
              <w:rFonts w:ascii="Tahoma" w:hAnsi="Tahoma" w:cs="Tahoma"/>
              <w:b/>
              <w:caps/>
              <w:noProof/>
              <w:sz w:val="24"/>
              <w:szCs w:val="24"/>
              <w:lang w:eastAsia="rw-RW"/>
            </w:rPr>
            <w:tab/>
          </w:r>
          <w:r>
            <w:rPr>
              <w:rFonts w:ascii="Tahoma" w:hAnsi="Tahoma" w:cs="Tahoma"/>
              <w:b/>
              <w:caps/>
              <w:noProof/>
              <w:lang w:val="en-US" w:eastAsia="en-US"/>
            </w:rPr>
            <w:drawing>
              <wp:inline distT="0" distB="0" distL="0" distR="0" wp14:anchorId="7BC074F7" wp14:editId="21541E45">
                <wp:extent cx="1388745" cy="673100"/>
                <wp:effectExtent l="0" t="0" r="1905" b="0"/>
                <wp:docPr id="14" name="Image 14" descr="logo prop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roposé"/>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8745" cy="673100"/>
                        </a:xfrm>
                        <a:prstGeom prst="rect">
                          <a:avLst/>
                        </a:prstGeom>
                        <a:noFill/>
                        <a:ln>
                          <a:noFill/>
                        </a:ln>
                      </pic:spPr>
                    </pic:pic>
                  </a:graphicData>
                </a:graphic>
              </wp:inline>
            </w:drawing>
          </w:r>
          <w:r w:rsidRPr="00597E27">
            <w:rPr>
              <w:rFonts w:ascii="Tahoma" w:hAnsi="Tahoma" w:cs="Tahoma"/>
              <w:b/>
              <w:caps/>
              <w:noProof/>
              <w:sz w:val="24"/>
              <w:szCs w:val="24"/>
              <w:lang w:eastAsia="rw-RW"/>
            </w:rPr>
            <w:br w:type="textWrapping" w:clear="all"/>
          </w:r>
        </w:p>
        <w:p w:rsidR="00B34192" w:rsidRPr="00C73671" w:rsidRDefault="00B34192" w:rsidP="00B34192">
          <w:pPr>
            <w:pStyle w:val="En-tte"/>
            <w:jc w:val="center"/>
            <w:rPr>
              <w:b/>
              <w:bCs/>
              <w:sz w:val="28"/>
              <w:szCs w:val="28"/>
              <w:u w:val="single"/>
            </w:rPr>
          </w:pPr>
          <w:r w:rsidRPr="00C73671">
            <w:rPr>
              <w:b/>
              <w:bCs/>
              <w:sz w:val="28"/>
              <w:szCs w:val="28"/>
              <w:u w:val="single"/>
            </w:rPr>
            <w:t>DIRECTION GENERALE</w:t>
          </w:r>
        </w:p>
        <w:p w:rsidR="00B34192" w:rsidRPr="00C73671" w:rsidRDefault="00B34192" w:rsidP="00B34192">
          <w:pPr>
            <w:spacing w:after="0"/>
            <w:jc w:val="center"/>
            <w:rPr>
              <w:rStyle w:val="lev"/>
              <w:rFonts w:ascii="Times New Roman" w:hAnsi="Times New Roman" w:cs="Times New Roman"/>
              <w:color w:val="8496B0" w:themeColor="text2" w:themeTint="99"/>
              <w:sz w:val="28"/>
              <w:szCs w:val="28"/>
              <w:u w:val="single"/>
              <w:lang w:eastAsia="fr-FR" w:bidi="ar-SA"/>
            </w:rPr>
          </w:pPr>
          <w:r w:rsidRPr="00C73671">
            <w:rPr>
              <w:rStyle w:val="lev"/>
              <w:rFonts w:ascii="Times New Roman" w:hAnsi="Times New Roman" w:cs="Times New Roman"/>
              <w:color w:val="8496B0" w:themeColor="text2" w:themeTint="99"/>
              <w:sz w:val="28"/>
              <w:szCs w:val="28"/>
              <w:u w:val="single"/>
            </w:rPr>
            <w:t>SERVICE « ETUDES ET STATISTIQUES AGRICOLES ET DES PRIX A LA PRODUCTION AGRICOLES »</w:t>
          </w:r>
        </w:p>
        <w:p w:rsidR="00B34192" w:rsidRPr="00597E27" w:rsidRDefault="00B34192" w:rsidP="00B34192">
          <w:pPr>
            <w:pStyle w:val="Sansinterligne"/>
            <w:jc w:val="both"/>
            <w:rPr>
              <w:rFonts w:ascii="Tahoma" w:hAnsi="Tahoma" w:cs="Tahoma"/>
              <w:sz w:val="24"/>
              <w:szCs w:val="24"/>
              <w:lang w:val="fr-FR"/>
            </w:rPr>
          </w:pPr>
          <w:r>
            <w:rPr>
              <w:rFonts w:ascii="Tahoma" w:hAnsi="Tahoma" w:cs="Tahoma"/>
              <w:noProof/>
              <w:sz w:val="24"/>
              <w:szCs w:val="24"/>
              <w:lang w:bidi="ar-SA"/>
            </w:rPr>
            <mc:AlternateContent>
              <mc:Choice Requires="wps">
                <w:drawing>
                  <wp:anchor distT="0" distB="0" distL="114300" distR="114300" simplePos="0" relativeHeight="251659264" behindDoc="0" locked="0" layoutInCell="1" allowOverlap="1" wp14:anchorId="3319FE54" wp14:editId="073EBE60">
                    <wp:simplePos x="0" y="0"/>
                    <wp:positionH relativeFrom="margin">
                      <wp:align>center</wp:align>
                    </wp:positionH>
                    <wp:positionV relativeFrom="paragraph">
                      <wp:posOffset>4445</wp:posOffset>
                    </wp:positionV>
                    <wp:extent cx="5581650" cy="1264285"/>
                    <wp:effectExtent l="0" t="0" r="19050" b="12065"/>
                    <wp:wrapNone/>
                    <wp:docPr id="1"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1264285"/>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73671" w:rsidRPr="00C73671" w:rsidRDefault="00C73671" w:rsidP="00B34192">
                                <w:pPr>
                                  <w:jc w:val="center"/>
                                  <w:rPr>
                                    <w:rFonts w:ascii="Times New Roman" w:hAnsi="Times New Roman" w:cs="Times New Roman"/>
                                    <w:b/>
                                    <w:color w:val="262626" w:themeColor="text1" w:themeTint="D9"/>
                                    <w:sz w:val="36"/>
                                    <w:szCs w:val="36"/>
                                  </w:rPr>
                                </w:pPr>
                                <w:r w:rsidRPr="00C73671">
                                  <w:rPr>
                                    <w:rFonts w:ascii="Times New Roman" w:hAnsi="Times New Roman" w:cs="Times New Roman"/>
                                    <w:b/>
                                    <w:color w:val="262626" w:themeColor="text1" w:themeTint="D9"/>
                                    <w:sz w:val="36"/>
                                    <w:szCs w:val="36"/>
                                  </w:rPr>
                                  <w:t>INDICES DES PRIX A LA PRODUCTION AGRICOLE AU BURUNDI (IPPAB), MOIS DE JANVIER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319FE54" id="Rectangle à coins arrondis 1" o:spid="_x0000_s1026" style="position:absolute;left:0;text-align:left;margin-left:0;margin-top:.35pt;width:439.5pt;height:99.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" fillcolor="#ffe599 [1303]" strokecolor="#1f4d78 [1604]" strokeweight="1pt">
                    <v:stroke joinstyle="miter"/>
                    <v:path arrowok="t"/>
                    <v:textbox>
                      <w:txbxContent>
                        <w:p w:rsidR="00C73671" w:rsidRPr="00C73671" w:rsidRDefault="00C73671" w:rsidP="00B34192">
                          <w:pPr>
                            <w:jc w:val="center"/>
                            <w:rPr>
                              <w:rFonts w:ascii="Times New Roman" w:hAnsi="Times New Roman" w:cs="Times New Roman"/>
                              <w:b/>
                              <w:color w:val="262626" w:themeColor="text1" w:themeTint="D9"/>
                              <w:sz w:val="36"/>
                              <w:szCs w:val="36"/>
                            </w:rPr>
                          </w:pPr>
                          <w:r w:rsidRPr="00C73671">
                            <w:rPr>
                              <w:rFonts w:ascii="Times New Roman" w:hAnsi="Times New Roman" w:cs="Times New Roman"/>
                              <w:b/>
                              <w:color w:val="262626" w:themeColor="text1" w:themeTint="D9"/>
                              <w:sz w:val="36"/>
                              <w:szCs w:val="36"/>
                            </w:rPr>
                            <w:t>INDICES DES PRIX A LA PRODUCTION AGRICOLE AU BURUNDI (IPPAB), MOIS DE JANVIER 2023</w:t>
                          </w:r>
                        </w:p>
                      </w:txbxContent>
                    </v:textbox>
                    <w10:wrap anchorx="margin"/>
                  </v:roundrect>
                </w:pict>
              </mc:Fallback>
            </mc:AlternateContent>
          </w:r>
        </w:p>
        <w:p w:rsidR="00B34192" w:rsidRPr="00597E27" w:rsidRDefault="00B34192" w:rsidP="00B34192">
          <w:pPr>
            <w:pStyle w:val="Sansinterligne"/>
            <w:jc w:val="both"/>
            <w:rPr>
              <w:rFonts w:ascii="Tahoma" w:hAnsi="Tahoma" w:cs="Tahoma"/>
              <w:sz w:val="24"/>
              <w:szCs w:val="24"/>
              <w:lang w:val="fr-FR"/>
            </w:rPr>
          </w:pPr>
        </w:p>
        <w:p w:rsidR="00B34192" w:rsidRPr="00597E27" w:rsidRDefault="00B34192" w:rsidP="00B34192">
          <w:pPr>
            <w:jc w:val="both"/>
            <w:rPr>
              <w:rFonts w:ascii="Tahoma" w:hAnsi="Tahoma" w:cs="Tahoma"/>
              <w:sz w:val="24"/>
              <w:szCs w:val="24"/>
            </w:rPr>
          </w:pPr>
        </w:p>
        <w:p w:rsidR="00B34192" w:rsidRPr="00597E27" w:rsidRDefault="00B34192" w:rsidP="00B34192">
          <w:pPr>
            <w:jc w:val="both"/>
            <w:rPr>
              <w:rFonts w:ascii="Tahoma" w:hAnsi="Tahoma" w:cs="Tahoma"/>
              <w:sz w:val="24"/>
              <w:szCs w:val="24"/>
            </w:rPr>
          </w:pPr>
        </w:p>
        <w:p w:rsidR="00B34192" w:rsidRPr="00597E27" w:rsidRDefault="00B34192" w:rsidP="00B34192">
          <w:pPr>
            <w:jc w:val="both"/>
            <w:rPr>
              <w:rFonts w:ascii="Tahoma" w:hAnsi="Tahoma" w:cs="Tahoma"/>
              <w:b/>
              <w:bCs/>
              <w:sz w:val="24"/>
              <w:szCs w:val="24"/>
            </w:rPr>
          </w:pPr>
        </w:p>
        <w:p w:rsidR="00B34192" w:rsidRPr="00597E27" w:rsidRDefault="00B34192" w:rsidP="00B34192">
          <w:pPr>
            <w:jc w:val="both"/>
            <w:rPr>
              <w:rFonts w:ascii="Tahoma" w:hAnsi="Tahoma" w:cs="Tahoma"/>
              <w:b/>
              <w:bCs/>
              <w:sz w:val="24"/>
              <w:szCs w:val="24"/>
            </w:rPr>
          </w:pPr>
          <w:r w:rsidRPr="00597E27">
            <w:rPr>
              <w:rFonts w:ascii="Tahoma" w:hAnsi="Tahoma" w:cs="Tahoma"/>
              <w:b/>
              <w:bCs/>
              <w:noProof/>
              <w:sz w:val="24"/>
              <w:szCs w:val="24"/>
              <w:lang w:val="en-US" w:bidi="ar-SA"/>
            </w:rPr>
            <w:drawing>
              <wp:anchor distT="0" distB="0" distL="114300" distR="114300" simplePos="0" relativeHeight="251660288" behindDoc="0" locked="0" layoutInCell="1" allowOverlap="1" wp14:anchorId="0D1A24E5" wp14:editId="3F062BA0">
                <wp:simplePos x="0" y="0"/>
                <wp:positionH relativeFrom="column">
                  <wp:align>left</wp:align>
                </wp:positionH>
                <wp:positionV relativeFrom="paragraph">
                  <wp:align>top</wp:align>
                </wp:positionV>
                <wp:extent cx="2542540" cy="1250315"/>
                <wp:effectExtent l="19050" t="0" r="0" b="0"/>
                <wp:wrapSquare wrapText="bothSides"/>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42540" cy="1250315"/>
                        </a:xfrm>
                        <a:prstGeom prst="rect">
                          <a:avLst/>
                        </a:prstGeom>
                        <a:noFill/>
                        <a:ln w="9525">
                          <a:noFill/>
                          <a:miter lim="800000"/>
                          <a:headEnd/>
                          <a:tailEnd/>
                        </a:ln>
                      </pic:spPr>
                    </pic:pic>
                  </a:graphicData>
                </a:graphic>
              </wp:anchor>
            </w:drawing>
          </w:r>
          <w:r w:rsidRPr="00597E27">
            <w:rPr>
              <w:rFonts w:ascii="Tahoma" w:hAnsi="Tahoma" w:cs="Tahoma"/>
              <w:b/>
              <w:bCs/>
              <w:noProof/>
              <w:sz w:val="24"/>
              <w:szCs w:val="24"/>
              <w:lang w:val="en-US" w:bidi="ar-SA"/>
            </w:rPr>
            <w:drawing>
              <wp:inline distT="0" distB="0" distL="0" distR="0" wp14:anchorId="6AC46912" wp14:editId="0BFFD07A">
                <wp:extent cx="3138218" cy="1311215"/>
                <wp:effectExtent l="19050" t="0" r="5032"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144839" cy="1313981"/>
                        </a:xfrm>
                        <a:prstGeom prst="rect">
                          <a:avLst/>
                        </a:prstGeom>
                        <a:noFill/>
                        <a:ln w="9525">
                          <a:noFill/>
                          <a:miter lim="800000"/>
                          <a:headEnd/>
                          <a:tailEnd/>
                        </a:ln>
                      </pic:spPr>
                    </pic:pic>
                  </a:graphicData>
                </a:graphic>
              </wp:inline>
            </w:drawing>
          </w:r>
          <w:r w:rsidRPr="00597E27">
            <w:rPr>
              <w:rFonts w:ascii="Tahoma" w:hAnsi="Tahoma" w:cs="Tahoma"/>
              <w:b/>
              <w:bCs/>
              <w:sz w:val="24"/>
              <w:szCs w:val="24"/>
            </w:rPr>
            <w:br w:type="textWrapping" w:clear="all"/>
          </w:r>
          <w:r w:rsidRPr="00597E27">
            <w:rPr>
              <w:rFonts w:ascii="Tahoma" w:hAnsi="Tahoma" w:cs="Tahoma"/>
              <w:b/>
              <w:bCs/>
              <w:noProof/>
              <w:sz w:val="24"/>
              <w:szCs w:val="24"/>
              <w:lang w:val="en-US" w:bidi="ar-SA"/>
            </w:rPr>
            <w:drawing>
              <wp:inline distT="0" distB="0" distL="0" distR="0" wp14:anchorId="6FED923D" wp14:editId="081017AA">
                <wp:extent cx="1438814" cy="1171064"/>
                <wp:effectExtent l="19050" t="0" r="8986"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444494" cy="1175687"/>
                        </a:xfrm>
                        <a:prstGeom prst="rect">
                          <a:avLst/>
                        </a:prstGeom>
                        <a:noFill/>
                        <a:ln w="9525">
                          <a:noFill/>
                          <a:miter lim="800000"/>
                          <a:headEnd/>
                          <a:tailEnd/>
                        </a:ln>
                      </pic:spPr>
                    </pic:pic>
                  </a:graphicData>
                </a:graphic>
              </wp:inline>
            </w:drawing>
          </w:r>
          <w:r w:rsidRPr="00597E27">
            <w:rPr>
              <w:rFonts w:ascii="Tahoma" w:hAnsi="Tahoma" w:cs="Tahoma"/>
              <w:b/>
              <w:bCs/>
              <w:sz w:val="24"/>
              <w:szCs w:val="24"/>
            </w:rPr>
            <w:tab/>
          </w:r>
          <w:r w:rsidRPr="00597E27">
            <w:rPr>
              <w:rFonts w:ascii="Tahoma" w:hAnsi="Tahoma" w:cs="Tahoma"/>
              <w:b/>
              <w:bCs/>
              <w:noProof/>
              <w:sz w:val="24"/>
              <w:szCs w:val="24"/>
              <w:lang w:val="en-US" w:bidi="ar-SA"/>
            </w:rPr>
            <w:drawing>
              <wp:inline distT="0" distB="0" distL="0" distR="0" wp14:anchorId="6C687EA4" wp14:editId="7FCF4805">
                <wp:extent cx="2103048" cy="1160495"/>
                <wp:effectExtent l="1905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111072" cy="1164923"/>
                        </a:xfrm>
                        <a:prstGeom prst="rect">
                          <a:avLst/>
                        </a:prstGeom>
                        <a:noFill/>
                        <a:ln w="9525">
                          <a:noFill/>
                          <a:miter lim="800000"/>
                          <a:headEnd/>
                          <a:tailEnd/>
                        </a:ln>
                      </pic:spPr>
                    </pic:pic>
                  </a:graphicData>
                </a:graphic>
              </wp:inline>
            </w:drawing>
          </w:r>
          <w:r w:rsidRPr="00597E27">
            <w:rPr>
              <w:rFonts w:ascii="Tahoma" w:hAnsi="Tahoma" w:cs="Tahoma"/>
              <w:b/>
              <w:bCs/>
              <w:sz w:val="24"/>
              <w:szCs w:val="24"/>
            </w:rPr>
            <w:tab/>
          </w:r>
          <w:r w:rsidRPr="00597E27">
            <w:rPr>
              <w:rFonts w:ascii="Tahoma" w:hAnsi="Tahoma" w:cs="Tahoma"/>
              <w:b/>
              <w:bCs/>
              <w:noProof/>
              <w:sz w:val="24"/>
              <w:szCs w:val="24"/>
              <w:lang w:val="en-US" w:bidi="ar-SA"/>
            </w:rPr>
            <w:drawing>
              <wp:inline distT="0" distB="0" distL="0" distR="0" wp14:anchorId="4E0ADE21" wp14:editId="11F86AA3">
                <wp:extent cx="1697607" cy="957532"/>
                <wp:effectExtent l="19050" t="0" r="0"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flipH="1">
                          <a:off x="0" y="0"/>
                          <a:ext cx="1698571" cy="958076"/>
                        </a:xfrm>
                        <a:prstGeom prst="rect">
                          <a:avLst/>
                        </a:prstGeom>
                        <a:noFill/>
                        <a:ln w="9525">
                          <a:noFill/>
                          <a:miter lim="800000"/>
                          <a:headEnd/>
                          <a:tailEnd/>
                        </a:ln>
                      </pic:spPr>
                    </pic:pic>
                  </a:graphicData>
                </a:graphic>
              </wp:inline>
            </w:drawing>
          </w:r>
          <w:r w:rsidRPr="00597E27">
            <w:rPr>
              <w:rFonts w:ascii="Tahoma" w:hAnsi="Tahoma" w:cs="Tahoma"/>
              <w:b/>
              <w:bCs/>
              <w:sz w:val="24"/>
              <w:szCs w:val="24"/>
            </w:rPr>
            <w:tab/>
          </w:r>
          <w:bookmarkStart w:id="0" w:name="_GoBack"/>
          <w:bookmarkEnd w:id="0"/>
          <w:r w:rsidRPr="00597E27">
            <w:rPr>
              <w:rFonts w:ascii="Tahoma" w:hAnsi="Tahoma" w:cs="Tahoma"/>
              <w:b/>
              <w:bCs/>
              <w:sz w:val="24"/>
              <w:szCs w:val="24"/>
            </w:rPr>
            <w:tab/>
          </w:r>
        </w:p>
        <w:p w:rsidR="00B34192" w:rsidRPr="00C73671" w:rsidRDefault="00B34192" w:rsidP="00B34192">
          <w:pPr>
            <w:jc w:val="both"/>
            <w:rPr>
              <w:rFonts w:ascii="Times New Roman" w:hAnsi="Times New Roman" w:cs="Times New Roman"/>
              <w:b/>
              <w:bCs/>
              <w:sz w:val="24"/>
              <w:szCs w:val="24"/>
            </w:rPr>
          </w:pPr>
          <w:r w:rsidRPr="00C73671">
            <w:rPr>
              <w:rFonts w:ascii="Times New Roman" w:hAnsi="Times New Roman" w:cs="Times New Roman"/>
              <w:b/>
              <w:bCs/>
              <w:sz w:val="24"/>
              <w:szCs w:val="24"/>
            </w:rPr>
            <w:tab/>
          </w:r>
          <w:r w:rsidRPr="00C73671">
            <w:rPr>
              <w:rFonts w:ascii="Times New Roman" w:hAnsi="Times New Roman" w:cs="Times New Roman"/>
              <w:b/>
              <w:bCs/>
              <w:sz w:val="24"/>
              <w:szCs w:val="24"/>
            </w:rPr>
            <w:tab/>
          </w:r>
          <w:r w:rsidRPr="00C73671">
            <w:rPr>
              <w:rFonts w:ascii="Times New Roman" w:hAnsi="Times New Roman" w:cs="Times New Roman"/>
              <w:b/>
              <w:bCs/>
              <w:sz w:val="24"/>
              <w:szCs w:val="24"/>
            </w:rPr>
            <w:tab/>
          </w:r>
          <w:r w:rsidRPr="00C73671">
            <w:rPr>
              <w:rFonts w:ascii="Times New Roman" w:hAnsi="Times New Roman" w:cs="Times New Roman"/>
              <w:b/>
              <w:bCs/>
              <w:sz w:val="24"/>
              <w:szCs w:val="24"/>
            </w:rPr>
            <w:tab/>
            <w:t>Date de publication : le 13 février 2023</w:t>
          </w:r>
        </w:p>
      </w:sdtContent>
    </w:sdt>
    <w:p w:rsidR="00B34192" w:rsidRPr="00C73671" w:rsidRDefault="00B34192" w:rsidP="00B34192">
      <w:pPr>
        <w:autoSpaceDE w:val="0"/>
        <w:autoSpaceDN w:val="0"/>
        <w:adjustRightInd w:val="0"/>
        <w:spacing w:before="0" w:after="0" w:line="240" w:lineRule="auto"/>
        <w:jc w:val="center"/>
        <w:rPr>
          <w:rFonts w:ascii="Times New Roman" w:hAnsi="Times New Roman" w:cs="Times New Roman"/>
          <w:b/>
          <w:bCs/>
          <w:sz w:val="24"/>
          <w:szCs w:val="24"/>
          <w:lang w:bidi="ar-SA"/>
        </w:rPr>
      </w:pPr>
      <w:r w:rsidRPr="00C73671">
        <w:rPr>
          <w:rFonts w:ascii="Times New Roman" w:hAnsi="Times New Roman" w:cs="Times New Roman"/>
          <w:b/>
          <w:bCs/>
          <w:sz w:val="24"/>
          <w:szCs w:val="24"/>
          <w:lang w:bidi="ar-SA"/>
        </w:rPr>
        <w:lastRenderedPageBreak/>
        <w:t>Aux lecteurs</w:t>
      </w:r>
    </w:p>
    <w:p w:rsidR="00B34192" w:rsidRPr="00C73671" w:rsidRDefault="00B34192" w:rsidP="00B34192">
      <w:pPr>
        <w:autoSpaceDE w:val="0"/>
        <w:autoSpaceDN w:val="0"/>
        <w:adjustRightInd w:val="0"/>
        <w:spacing w:before="0" w:after="0" w:line="240" w:lineRule="auto"/>
        <w:jc w:val="center"/>
        <w:rPr>
          <w:rFonts w:ascii="Times New Roman" w:hAnsi="Times New Roman" w:cs="Times New Roman"/>
          <w:b/>
          <w:bCs/>
          <w:sz w:val="24"/>
          <w:szCs w:val="24"/>
          <w:lang w:bidi="ar-SA"/>
        </w:rPr>
      </w:pPr>
    </w:p>
    <w:p w:rsidR="00B34192" w:rsidRPr="00C73671" w:rsidRDefault="00B34192" w:rsidP="00B34192">
      <w:pPr>
        <w:autoSpaceDE w:val="0"/>
        <w:autoSpaceDN w:val="0"/>
        <w:adjustRightInd w:val="0"/>
        <w:spacing w:before="0" w:after="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L’Institut National de la Statistiques du Burundi (INSBU) met à la disposition des utilisateurs l'Indice des Prix à la Production Agricole (IPPAB base 100 </w:t>
      </w:r>
      <w:r w:rsidR="00B06494">
        <w:rPr>
          <w:rFonts w:ascii="Times New Roman" w:hAnsi="Times New Roman" w:cs="Times New Roman"/>
          <w:sz w:val="24"/>
          <w:szCs w:val="24"/>
          <w:lang w:bidi="ar-SA"/>
        </w:rPr>
        <w:t xml:space="preserve">pour l’année </w:t>
      </w:r>
      <w:r w:rsidRPr="00C73671">
        <w:rPr>
          <w:rFonts w:ascii="Times New Roman" w:hAnsi="Times New Roman" w:cs="Times New Roman"/>
          <w:sz w:val="24"/>
          <w:szCs w:val="24"/>
          <w:lang w:bidi="ar-SA"/>
        </w:rPr>
        <w:t>2018).</w:t>
      </w:r>
    </w:p>
    <w:p w:rsidR="00B34192" w:rsidRPr="00C73671" w:rsidRDefault="00B34192" w:rsidP="00B34192">
      <w:pPr>
        <w:autoSpaceDE w:val="0"/>
        <w:autoSpaceDN w:val="0"/>
        <w:adjustRightInd w:val="0"/>
        <w:spacing w:before="0" w:after="0"/>
        <w:jc w:val="both"/>
        <w:rPr>
          <w:rFonts w:ascii="Times New Roman" w:eastAsia="Times New Roman" w:hAnsi="Times New Roman" w:cs="Times New Roman"/>
          <w:sz w:val="24"/>
          <w:szCs w:val="24"/>
          <w:lang w:val="af-ZA" w:bidi="ar-SA"/>
        </w:rPr>
      </w:pPr>
      <w:r w:rsidRPr="00C73671">
        <w:rPr>
          <w:rFonts w:ascii="Times New Roman" w:hAnsi="Times New Roman" w:cs="Times New Roman"/>
          <w:sz w:val="24"/>
          <w:szCs w:val="24"/>
          <w:lang w:bidi="ar-SA"/>
        </w:rPr>
        <w:t xml:space="preserve">Cet indice composite, basé sur l’observation des prix des </w:t>
      </w:r>
      <w:r w:rsidRPr="00C73671">
        <w:rPr>
          <w:rFonts w:ascii="Times New Roman" w:eastAsia="Times New Roman" w:hAnsi="Times New Roman" w:cs="Times New Roman"/>
          <w:sz w:val="24"/>
          <w:szCs w:val="24"/>
          <w:lang w:val="af-ZA" w:bidi="ar-SA"/>
        </w:rPr>
        <w:t xml:space="preserve">Céréales ; des tubercules et racines ; les légumineuses ; les plantes oléagineuses ; les cultures industrielles ; les légumes frais ; la banane ; les fruits frais, les bovins, les ovins et caprins ; les porcins ; les produits élevages et volailles, les sous produits de l’élevage ; les produits de la sylviculture et de l’exploitation forestière ainsi que les produits de la </w:t>
      </w:r>
      <w:r w:rsidRPr="00C73671">
        <w:rPr>
          <w:rFonts w:ascii="Times New Roman" w:eastAsia="Times New Roman" w:hAnsi="Times New Roman" w:cs="Times New Roman"/>
          <w:sz w:val="24"/>
          <w:szCs w:val="24"/>
          <w:lang w:bidi="ar-SA"/>
        </w:rPr>
        <w:t xml:space="preserve">pêche </w:t>
      </w:r>
      <w:r w:rsidRPr="00C73671">
        <w:rPr>
          <w:rFonts w:ascii="Times New Roman" w:eastAsia="Times New Roman" w:hAnsi="Times New Roman" w:cs="Times New Roman"/>
          <w:sz w:val="24"/>
          <w:szCs w:val="24"/>
          <w:lang w:val="af-ZA" w:bidi="ar-SA"/>
        </w:rPr>
        <w:t>(coutumière et artisanale).</w:t>
      </w:r>
    </w:p>
    <w:p w:rsidR="00B34192" w:rsidRPr="00C73671" w:rsidRDefault="00B34192" w:rsidP="00B34192">
      <w:pPr>
        <w:autoSpaceDE w:val="0"/>
        <w:autoSpaceDN w:val="0"/>
        <w:adjustRightInd w:val="0"/>
        <w:spacing w:before="0" w:after="0" w:line="240" w:lineRule="auto"/>
        <w:jc w:val="both"/>
        <w:rPr>
          <w:rFonts w:ascii="Times New Roman" w:hAnsi="Times New Roman" w:cs="Times New Roman"/>
          <w:sz w:val="24"/>
          <w:szCs w:val="24"/>
          <w:lang w:bidi="ar-SA"/>
        </w:rPr>
      </w:pPr>
    </w:p>
    <w:p w:rsidR="00B34192" w:rsidRPr="00C73671" w:rsidRDefault="00B34192" w:rsidP="00B34192">
      <w:pPr>
        <w:autoSpaceDE w:val="0"/>
        <w:autoSpaceDN w:val="0"/>
        <w:adjustRightInd w:val="0"/>
        <w:spacing w:before="0" w:after="0" w:line="240" w:lineRule="auto"/>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La méthodologie utilisée est du type input avec une formule de </w:t>
      </w:r>
      <w:proofErr w:type="spellStart"/>
      <w:r w:rsidRPr="00C73671">
        <w:rPr>
          <w:rFonts w:ascii="Times New Roman" w:hAnsi="Times New Roman" w:cs="Times New Roman"/>
          <w:sz w:val="24"/>
          <w:szCs w:val="24"/>
          <w:lang w:bidi="ar-SA"/>
        </w:rPr>
        <w:t>Laspeyres</w:t>
      </w:r>
      <w:proofErr w:type="spellEnd"/>
      <w:r w:rsidRPr="00C73671">
        <w:rPr>
          <w:rFonts w:ascii="Times New Roman" w:hAnsi="Times New Roman" w:cs="Times New Roman"/>
          <w:sz w:val="24"/>
          <w:szCs w:val="24"/>
          <w:lang w:bidi="ar-SA"/>
        </w:rPr>
        <w:t>. Le champ couvert par l’indice est le territoire national sauf la Mairie de Bujumbura.</w:t>
      </w:r>
    </w:p>
    <w:p w:rsidR="00B34192" w:rsidRPr="00C73671" w:rsidRDefault="00B34192" w:rsidP="00B34192">
      <w:pPr>
        <w:jc w:val="both"/>
        <w:rPr>
          <w:rFonts w:ascii="Times New Roman" w:hAnsi="Times New Roman" w:cs="Times New Roman"/>
          <w:sz w:val="24"/>
          <w:szCs w:val="24"/>
        </w:rPr>
      </w:pPr>
      <w:r w:rsidRPr="00C73671">
        <w:rPr>
          <w:rFonts w:ascii="Times New Roman" w:hAnsi="Times New Roman" w:cs="Times New Roman"/>
          <w:sz w:val="24"/>
          <w:szCs w:val="24"/>
        </w:rPr>
        <w:t>Les coefficients de pondération sont calculés à l’aide des structures des comptes nationaux de 2014.</w:t>
      </w:r>
    </w:p>
    <w:p w:rsidR="00B34192" w:rsidRPr="00C73671" w:rsidRDefault="00B34192" w:rsidP="00B34192">
      <w:pPr>
        <w:jc w:val="both"/>
        <w:rPr>
          <w:rFonts w:ascii="Times New Roman" w:hAnsi="Times New Roman" w:cs="Times New Roman"/>
          <w:b/>
          <w:sz w:val="24"/>
          <w:szCs w:val="24"/>
        </w:rPr>
      </w:pPr>
      <w:r w:rsidRPr="00C73671">
        <w:rPr>
          <w:rFonts w:ascii="Times New Roman" w:hAnsi="Times New Roman" w:cs="Times New Roman"/>
          <w:b/>
          <w:bCs/>
          <w:sz w:val="24"/>
          <w:szCs w:val="24"/>
          <w:lang w:bidi="ar-SA"/>
        </w:rPr>
        <w:t>Evolution des prix des produits agricoles au mois de janvier 2023</w:t>
      </w:r>
    </w:p>
    <w:p w:rsidR="00B34192" w:rsidRPr="00C73671" w:rsidRDefault="00B34192" w:rsidP="00B34192">
      <w:pPr>
        <w:autoSpaceDE w:val="0"/>
        <w:autoSpaceDN w:val="0"/>
        <w:adjustRightInd w:val="0"/>
        <w:spacing w:before="0" w:after="0" w:line="240" w:lineRule="auto"/>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Dans l’ensemble les prix des produits enregistrent une </w:t>
      </w:r>
      <w:r w:rsidR="0054564C">
        <w:rPr>
          <w:rFonts w:ascii="Times New Roman" w:hAnsi="Times New Roman" w:cs="Times New Roman"/>
          <w:sz w:val="24"/>
          <w:szCs w:val="24"/>
          <w:lang w:bidi="ar-SA"/>
        </w:rPr>
        <w:t>variation en augmentation de 1,4</w:t>
      </w:r>
      <w:r w:rsidRPr="00C73671">
        <w:rPr>
          <w:rFonts w:ascii="Times New Roman" w:hAnsi="Times New Roman" w:cs="Times New Roman"/>
          <w:sz w:val="24"/>
          <w:szCs w:val="24"/>
          <w:lang w:bidi="ar-SA"/>
        </w:rPr>
        <w:t>% pour le mois de</w:t>
      </w:r>
      <w:r w:rsidR="0054564C">
        <w:rPr>
          <w:rFonts w:ascii="Times New Roman" w:hAnsi="Times New Roman" w:cs="Times New Roman"/>
          <w:sz w:val="24"/>
          <w:szCs w:val="24"/>
          <w:lang w:bidi="ar-SA"/>
        </w:rPr>
        <w:t xml:space="preserve"> janvier 2023 contre une </w:t>
      </w:r>
      <w:r w:rsidRPr="00C73671">
        <w:rPr>
          <w:rFonts w:ascii="Times New Roman" w:hAnsi="Times New Roman" w:cs="Times New Roman"/>
          <w:sz w:val="24"/>
          <w:szCs w:val="24"/>
          <w:lang w:bidi="ar-SA"/>
        </w:rPr>
        <w:t xml:space="preserve"> v</w:t>
      </w:r>
      <w:r w:rsidR="0054564C">
        <w:rPr>
          <w:rFonts w:ascii="Times New Roman" w:hAnsi="Times New Roman" w:cs="Times New Roman"/>
          <w:sz w:val="24"/>
          <w:szCs w:val="24"/>
          <w:lang w:bidi="ar-SA"/>
        </w:rPr>
        <w:t>ariation en augmentation de 5,8% pour le mois de décembre</w:t>
      </w:r>
      <w:r w:rsidRPr="00C73671">
        <w:rPr>
          <w:rFonts w:ascii="Times New Roman" w:hAnsi="Times New Roman" w:cs="Times New Roman"/>
          <w:sz w:val="24"/>
          <w:szCs w:val="24"/>
          <w:lang w:bidi="ar-SA"/>
        </w:rPr>
        <w:t xml:space="preserve"> 2022.</w:t>
      </w:r>
    </w:p>
    <w:p w:rsidR="00B34192" w:rsidRPr="00C73671" w:rsidRDefault="00B34192" w:rsidP="00B34192">
      <w:pPr>
        <w:autoSpaceDE w:val="0"/>
        <w:autoSpaceDN w:val="0"/>
        <w:adjustRightInd w:val="0"/>
        <w:spacing w:before="0" w:after="0" w:line="240" w:lineRule="auto"/>
        <w:jc w:val="both"/>
        <w:rPr>
          <w:rFonts w:ascii="Times New Roman" w:hAnsi="Times New Roman" w:cs="Times New Roman"/>
          <w:sz w:val="24"/>
          <w:szCs w:val="24"/>
          <w:lang w:bidi="ar-SA"/>
        </w:rPr>
      </w:pPr>
    </w:p>
    <w:p w:rsidR="00B34192" w:rsidRPr="00C73671" w:rsidRDefault="00B34192" w:rsidP="00B34192">
      <w:pPr>
        <w:autoSpaceDE w:val="0"/>
        <w:autoSpaceDN w:val="0"/>
        <w:adjustRightInd w:val="0"/>
        <w:spacing w:before="0" w:after="0" w:line="240" w:lineRule="auto"/>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Pour les cé</w:t>
      </w:r>
      <w:r w:rsidR="0054564C">
        <w:rPr>
          <w:rFonts w:ascii="Times New Roman" w:hAnsi="Times New Roman" w:cs="Times New Roman"/>
          <w:sz w:val="24"/>
          <w:szCs w:val="24"/>
          <w:lang w:bidi="ar-SA"/>
        </w:rPr>
        <w:t>réales, on observe une diminution de 1,7%. Le produit qui a  influé cette diminution est</w:t>
      </w:r>
      <w:r w:rsidRPr="00C73671">
        <w:rPr>
          <w:rFonts w:ascii="Times New Roman" w:hAnsi="Times New Roman" w:cs="Times New Roman"/>
          <w:sz w:val="24"/>
          <w:szCs w:val="24"/>
          <w:lang w:bidi="ar-SA"/>
        </w:rPr>
        <w:t xml:space="preserve"> le ma</w:t>
      </w:r>
      <w:r w:rsidR="0054564C">
        <w:rPr>
          <w:rFonts w:ascii="Times New Roman" w:hAnsi="Times New Roman" w:cs="Times New Roman"/>
          <w:sz w:val="24"/>
          <w:szCs w:val="24"/>
          <w:lang w:bidi="ar-SA"/>
        </w:rPr>
        <w:t>ïs (-4,8</w:t>
      </w:r>
      <w:r w:rsidRPr="00C73671">
        <w:rPr>
          <w:rFonts w:ascii="Times New Roman" w:hAnsi="Times New Roman" w:cs="Times New Roman"/>
          <w:sz w:val="24"/>
          <w:szCs w:val="24"/>
          <w:lang w:bidi="ar-SA"/>
        </w:rPr>
        <w:t>%).</w:t>
      </w:r>
    </w:p>
    <w:p w:rsidR="00B34192" w:rsidRPr="00C73671" w:rsidRDefault="00B34192" w:rsidP="00B34192">
      <w:pPr>
        <w:autoSpaceDE w:val="0"/>
        <w:autoSpaceDN w:val="0"/>
        <w:adjustRightInd w:val="0"/>
        <w:spacing w:before="0" w:after="0" w:line="240" w:lineRule="auto"/>
        <w:jc w:val="both"/>
        <w:rPr>
          <w:rFonts w:ascii="Times New Roman" w:hAnsi="Times New Roman" w:cs="Times New Roman"/>
          <w:sz w:val="24"/>
          <w:szCs w:val="24"/>
          <w:lang w:bidi="ar-SA"/>
        </w:rPr>
      </w:pPr>
    </w:p>
    <w:p w:rsidR="00B34192" w:rsidRPr="00C73671" w:rsidRDefault="00B34192" w:rsidP="00B34192">
      <w:pPr>
        <w:autoSpaceDE w:val="0"/>
        <w:autoSpaceDN w:val="0"/>
        <w:adjustRightInd w:val="0"/>
        <w:spacing w:before="0" w:after="0" w:line="240" w:lineRule="auto"/>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Les tubercules et les racines man</w:t>
      </w:r>
      <w:r w:rsidR="00A71CB6">
        <w:rPr>
          <w:rFonts w:ascii="Times New Roman" w:hAnsi="Times New Roman" w:cs="Times New Roman"/>
          <w:sz w:val="24"/>
          <w:szCs w:val="24"/>
          <w:lang w:bidi="ar-SA"/>
        </w:rPr>
        <w:t>ifestent une augmentation de 1,2</w:t>
      </w:r>
      <w:r w:rsidRPr="00C73671">
        <w:rPr>
          <w:rFonts w:ascii="Times New Roman" w:hAnsi="Times New Roman" w:cs="Times New Roman"/>
          <w:sz w:val="24"/>
          <w:szCs w:val="24"/>
          <w:lang w:bidi="ar-SA"/>
        </w:rPr>
        <w:t xml:space="preserve"> % au mois de </w:t>
      </w:r>
      <w:r w:rsidR="00A71CB6">
        <w:rPr>
          <w:rFonts w:ascii="Times New Roman" w:hAnsi="Times New Roman" w:cs="Times New Roman"/>
          <w:sz w:val="24"/>
          <w:szCs w:val="24"/>
          <w:lang w:bidi="ar-SA"/>
        </w:rPr>
        <w:t>janvier 2023</w:t>
      </w:r>
      <w:r w:rsidRPr="00C73671">
        <w:rPr>
          <w:rFonts w:ascii="Times New Roman" w:hAnsi="Times New Roman" w:cs="Times New Roman"/>
          <w:sz w:val="24"/>
          <w:szCs w:val="24"/>
          <w:lang w:bidi="ar-SA"/>
        </w:rPr>
        <w:t xml:space="preserve"> contre </w:t>
      </w:r>
      <w:r w:rsidR="00A71CB6" w:rsidRPr="00C73671">
        <w:rPr>
          <w:rFonts w:ascii="Times New Roman" w:hAnsi="Times New Roman" w:cs="Times New Roman"/>
          <w:sz w:val="24"/>
          <w:szCs w:val="24"/>
          <w:lang w:bidi="ar-SA"/>
        </w:rPr>
        <w:t xml:space="preserve">une augmentation de 8,8 % </w:t>
      </w:r>
      <w:r w:rsidRPr="00C73671">
        <w:rPr>
          <w:rFonts w:ascii="Times New Roman" w:hAnsi="Times New Roman" w:cs="Times New Roman"/>
          <w:sz w:val="24"/>
          <w:szCs w:val="24"/>
          <w:lang w:bidi="ar-SA"/>
        </w:rPr>
        <w:t xml:space="preserve"> au mois de </w:t>
      </w:r>
      <w:r w:rsidR="00A71CB6" w:rsidRPr="00C73671">
        <w:rPr>
          <w:rFonts w:ascii="Times New Roman" w:hAnsi="Times New Roman" w:cs="Times New Roman"/>
          <w:sz w:val="24"/>
          <w:szCs w:val="24"/>
          <w:lang w:bidi="ar-SA"/>
        </w:rPr>
        <w:t>décembre</w:t>
      </w:r>
      <w:r w:rsidRPr="00C73671">
        <w:rPr>
          <w:rFonts w:ascii="Times New Roman" w:hAnsi="Times New Roman" w:cs="Times New Roman"/>
          <w:sz w:val="24"/>
          <w:szCs w:val="24"/>
          <w:lang w:bidi="ar-SA"/>
        </w:rPr>
        <w:t xml:space="preserve"> 2022.</w:t>
      </w:r>
    </w:p>
    <w:p w:rsidR="00B34192" w:rsidRPr="00C73671" w:rsidRDefault="00B34192" w:rsidP="00B34192">
      <w:pPr>
        <w:autoSpaceDE w:val="0"/>
        <w:autoSpaceDN w:val="0"/>
        <w:adjustRightInd w:val="0"/>
        <w:spacing w:before="0" w:after="0" w:line="240" w:lineRule="auto"/>
        <w:jc w:val="both"/>
        <w:rPr>
          <w:rFonts w:ascii="Times New Roman" w:hAnsi="Times New Roman" w:cs="Times New Roman"/>
          <w:sz w:val="24"/>
          <w:szCs w:val="24"/>
          <w:lang w:bidi="ar-SA"/>
        </w:rPr>
      </w:pPr>
    </w:p>
    <w:p w:rsidR="00B34192" w:rsidRPr="00C73671" w:rsidRDefault="00B34192" w:rsidP="00B34192">
      <w:pPr>
        <w:autoSpaceDE w:val="0"/>
        <w:autoSpaceDN w:val="0"/>
        <w:adjustRightInd w:val="0"/>
        <w:spacing w:before="0" w:after="0" w:line="240" w:lineRule="auto"/>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La classe des légum</w:t>
      </w:r>
      <w:r w:rsidR="00A71CB6">
        <w:rPr>
          <w:rFonts w:ascii="Times New Roman" w:hAnsi="Times New Roman" w:cs="Times New Roman"/>
          <w:sz w:val="24"/>
          <w:szCs w:val="24"/>
          <w:lang w:bidi="ar-SA"/>
        </w:rPr>
        <w:t>ineuses a subi une hausse de 11,2% pour ce mois de janvier 2023</w:t>
      </w:r>
      <w:r w:rsidRPr="00C73671">
        <w:rPr>
          <w:rFonts w:ascii="Times New Roman" w:hAnsi="Times New Roman" w:cs="Times New Roman"/>
          <w:sz w:val="24"/>
          <w:szCs w:val="24"/>
          <w:lang w:bidi="ar-SA"/>
        </w:rPr>
        <w:t xml:space="preserve"> par rapport au m</w:t>
      </w:r>
      <w:r w:rsidR="00A71CB6">
        <w:rPr>
          <w:rFonts w:ascii="Times New Roman" w:hAnsi="Times New Roman" w:cs="Times New Roman"/>
          <w:sz w:val="24"/>
          <w:szCs w:val="24"/>
          <w:lang w:bidi="ar-SA"/>
        </w:rPr>
        <w:t>ois de décembre 2022 (7,0</w:t>
      </w:r>
      <w:r w:rsidRPr="00C73671">
        <w:rPr>
          <w:rFonts w:ascii="Times New Roman" w:hAnsi="Times New Roman" w:cs="Times New Roman"/>
          <w:sz w:val="24"/>
          <w:szCs w:val="24"/>
          <w:lang w:bidi="ar-SA"/>
        </w:rPr>
        <w:t xml:space="preserve">%). </w:t>
      </w:r>
    </w:p>
    <w:p w:rsidR="00B34192" w:rsidRPr="00C73671" w:rsidRDefault="00B34192" w:rsidP="00B34192">
      <w:pPr>
        <w:autoSpaceDE w:val="0"/>
        <w:autoSpaceDN w:val="0"/>
        <w:adjustRightInd w:val="0"/>
        <w:spacing w:before="0" w:after="0" w:line="240" w:lineRule="auto"/>
        <w:jc w:val="both"/>
        <w:rPr>
          <w:rFonts w:ascii="Times New Roman" w:hAnsi="Times New Roman" w:cs="Times New Roman"/>
          <w:sz w:val="24"/>
          <w:szCs w:val="24"/>
          <w:lang w:bidi="ar-SA"/>
        </w:rPr>
      </w:pPr>
    </w:p>
    <w:p w:rsidR="00B34192" w:rsidRPr="00C73671" w:rsidRDefault="00B34192" w:rsidP="00B34192">
      <w:pPr>
        <w:autoSpaceDE w:val="0"/>
        <w:autoSpaceDN w:val="0"/>
        <w:adjustRightInd w:val="0"/>
        <w:spacing w:before="0" w:after="0" w:line="240" w:lineRule="auto"/>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 Les </w:t>
      </w:r>
      <w:r w:rsidRPr="00C73671">
        <w:rPr>
          <w:rFonts w:ascii="Times New Roman" w:eastAsia="Times New Roman" w:hAnsi="Times New Roman" w:cs="Times New Roman"/>
          <w:color w:val="000000"/>
          <w:sz w:val="24"/>
          <w:szCs w:val="24"/>
          <w:lang w:val="af-ZA" w:bidi="ar-SA"/>
        </w:rPr>
        <w:t xml:space="preserve">produits de la </w:t>
      </w:r>
      <w:r w:rsidRPr="00C73671">
        <w:rPr>
          <w:rFonts w:ascii="Times New Roman" w:eastAsia="Times New Roman" w:hAnsi="Times New Roman" w:cs="Times New Roman"/>
          <w:color w:val="000000"/>
          <w:sz w:val="24"/>
          <w:szCs w:val="24"/>
          <w:lang w:bidi="ar-SA"/>
        </w:rPr>
        <w:t>pêche</w:t>
      </w:r>
      <w:r w:rsidRPr="00C73671">
        <w:rPr>
          <w:rFonts w:ascii="Times New Roman" w:eastAsia="Times New Roman" w:hAnsi="Times New Roman" w:cs="Times New Roman"/>
          <w:color w:val="000000"/>
          <w:sz w:val="24"/>
          <w:szCs w:val="24"/>
          <w:lang w:val="af-ZA" w:bidi="ar-SA"/>
        </w:rPr>
        <w:t xml:space="preserve"> (coutumière et artisanale)</w:t>
      </w:r>
      <w:r w:rsidRPr="00C73671">
        <w:rPr>
          <w:rFonts w:ascii="Times New Roman" w:hAnsi="Times New Roman" w:cs="Times New Roman"/>
          <w:sz w:val="24"/>
          <w:szCs w:val="24"/>
          <w:lang w:bidi="ar-SA"/>
        </w:rPr>
        <w:t xml:space="preserve"> enregistrent une variation en </w:t>
      </w:r>
      <w:r w:rsidR="00A71CB6">
        <w:rPr>
          <w:rFonts w:ascii="Times New Roman" w:hAnsi="Times New Roman" w:cs="Times New Roman"/>
          <w:sz w:val="24"/>
          <w:szCs w:val="24"/>
          <w:lang w:bidi="ar-SA"/>
        </w:rPr>
        <w:t>augmentation de 1,3</w:t>
      </w:r>
      <w:r w:rsidRPr="00C73671">
        <w:rPr>
          <w:rFonts w:ascii="Times New Roman" w:hAnsi="Times New Roman" w:cs="Times New Roman"/>
          <w:sz w:val="24"/>
          <w:szCs w:val="24"/>
          <w:lang w:bidi="ar-SA"/>
        </w:rPr>
        <w:t>% pour ce m</w:t>
      </w:r>
      <w:r w:rsidR="00A71CB6">
        <w:rPr>
          <w:rFonts w:ascii="Times New Roman" w:hAnsi="Times New Roman" w:cs="Times New Roman"/>
          <w:sz w:val="24"/>
          <w:szCs w:val="24"/>
          <w:lang w:bidi="ar-SA"/>
        </w:rPr>
        <w:t>ois contre une diminution de 0,4</w:t>
      </w:r>
      <w:r w:rsidRPr="00C73671">
        <w:rPr>
          <w:rFonts w:ascii="Times New Roman" w:hAnsi="Times New Roman" w:cs="Times New Roman"/>
          <w:sz w:val="24"/>
          <w:szCs w:val="24"/>
          <w:lang w:bidi="ar-SA"/>
        </w:rPr>
        <w:t xml:space="preserve"> % au mois précédent. </w:t>
      </w:r>
    </w:p>
    <w:p w:rsidR="00B34192" w:rsidRPr="00C73671" w:rsidRDefault="00B34192" w:rsidP="00B34192">
      <w:pPr>
        <w:autoSpaceDE w:val="0"/>
        <w:autoSpaceDN w:val="0"/>
        <w:adjustRightInd w:val="0"/>
        <w:spacing w:before="0" w:after="0" w:line="240" w:lineRule="auto"/>
        <w:jc w:val="both"/>
        <w:rPr>
          <w:rFonts w:ascii="Times New Roman" w:hAnsi="Times New Roman" w:cs="Times New Roman"/>
          <w:sz w:val="24"/>
          <w:szCs w:val="24"/>
          <w:lang w:bidi="ar-SA"/>
        </w:rPr>
      </w:pPr>
    </w:p>
    <w:p w:rsidR="00B34192" w:rsidRPr="00C73671" w:rsidRDefault="00B34192" w:rsidP="00B34192">
      <w:pPr>
        <w:jc w:val="both"/>
        <w:rPr>
          <w:rFonts w:ascii="Times New Roman" w:hAnsi="Times New Roman" w:cs="Times New Roman"/>
          <w:b/>
          <w:bCs/>
          <w:sz w:val="24"/>
          <w:szCs w:val="24"/>
          <w:lang w:bidi="ar-SA"/>
        </w:rPr>
      </w:pPr>
    </w:p>
    <w:p w:rsidR="00B34192" w:rsidRDefault="00B34192" w:rsidP="00B34192">
      <w:pPr>
        <w:jc w:val="both"/>
        <w:rPr>
          <w:rFonts w:ascii="Times New Roman" w:hAnsi="Times New Roman" w:cs="Times New Roman"/>
          <w:b/>
          <w:bCs/>
          <w:sz w:val="24"/>
          <w:szCs w:val="24"/>
          <w:lang w:bidi="ar-SA"/>
        </w:rPr>
      </w:pPr>
    </w:p>
    <w:p w:rsidR="00A71CB6" w:rsidRDefault="00A71CB6" w:rsidP="00B34192">
      <w:pPr>
        <w:jc w:val="both"/>
        <w:rPr>
          <w:rFonts w:ascii="Times New Roman" w:hAnsi="Times New Roman" w:cs="Times New Roman"/>
          <w:b/>
          <w:bCs/>
          <w:sz w:val="24"/>
          <w:szCs w:val="24"/>
          <w:lang w:bidi="ar-SA"/>
        </w:rPr>
      </w:pPr>
    </w:p>
    <w:p w:rsidR="00A71CB6" w:rsidRPr="00C73671" w:rsidRDefault="00A71CB6" w:rsidP="00B34192">
      <w:pPr>
        <w:jc w:val="both"/>
        <w:rPr>
          <w:rFonts w:ascii="Times New Roman" w:hAnsi="Times New Roman" w:cs="Times New Roman"/>
          <w:b/>
          <w:bCs/>
          <w:sz w:val="24"/>
          <w:szCs w:val="24"/>
          <w:lang w:bidi="ar-SA"/>
        </w:rPr>
      </w:pPr>
    </w:p>
    <w:p w:rsidR="00B34192" w:rsidRPr="00C73671" w:rsidRDefault="00B34192" w:rsidP="00B34192">
      <w:pPr>
        <w:jc w:val="both"/>
        <w:rPr>
          <w:rFonts w:ascii="Times New Roman" w:hAnsi="Times New Roman" w:cs="Times New Roman"/>
          <w:b/>
          <w:sz w:val="24"/>
          <w:szCs w:val="24"/>
        </w:rPr>
      </w:pPr>
      <w:r w:rsidRPr="00C73671">
        <w:rPr>
          <w:rFonts w:ascii="Times New Roman" w:hAnsi="Times New Roman" w:cs="Times New Roman"/>
          <w:b/>
          <w:bCs/>
          <w:sz w:val="24"/>
          <w:szCs w:val="24"/>
          <w:lang w:bidi="ar-SA"/>
        </w:rPr>
        <w:lastRenderedPageBreak/>
        <w:t>Evolution trimestrielle des prix des produits agricoles</w:t>
      </w:r>
    </w:p>
    <w:p w:rsidR="00B34192" w:rsidRPr="00C73671" w:rsidRDefault="00B34192" w:rsidP="00B34192">
      <w:pPr>
        <w:autoSpaceDE w:val="0"/>
        <w:autoSpaceDN w:val="0"/>
        <w:adjustRightInd w:val="0"/>
        <w:spacing w:before="0" w:after="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Au cours du trim</w:t>
      </w:r>
      <w:r w:rsidR="00A8120A">
        <w:rPr>
          <w:rFonts w:ascii="Times New Roman" w:hAnsi="Times New Roman" w:cs="Times New Roman"/>
          <w:sz w:val="24"/>
          <w:szCs w:val="24"/>
          <w:lang w:bidi="ar-SA"/>
        </w:rPr>
        <w:t>estre ayant pris fin en janvier 2023</w:t>
      </w:r>
      <w:r w:rsidRPr="00C73671">
        <w:rPr>
          <w:rFonts w:ascii="Times New Roman" w:hAnsi="Times New Roman" w:cs="Times New Roman"/>
          <w:sz w:val="24"/>
          <w:szCs w:val="24"/>
          <w:lang w:bidi="ar-SA"/>
        </w:rPr>
        <w:t>, les prix des produit</w:t>
      </w:r>
      <w:r w:rsidR="00A8120A">
        <w:rPr>
          <w:rFonts w:ascii="Times New Roman" w:hAnsi="Times New Roman" w:cs="Times New Roman"/>
          <w:sz w:val="24"/>
          <w:szCs w:val="24"/>
          <w:lang w:bidi="ar-SA"/>
        </w:rPr>
        <w:t>s enregistrent une hausse de 9,1</w:t>
      </w:r>
      <w:r w:rsidRPr="00C73671">
        <w:rPr>
          <w:rFonts w:ascii="Times New Roman" w:hAnsi="Times New Roman" w:cs="Times New Roman"/>
          <w:sz w:val="24"/>
          <w:szCs w:val="24"/>
          <w:lang w:bidi="ar-SA"/>
        </w:rPr>
        <w:t xml:space="preserve"> % par rapport au trimestre précédent.</w:t>
      </w:r>
    </w:p>
    <w:p w:rsidR="00B34192" w:rsidRPr="00C73671" w:rsidRDefault="00A8120A" w:rsidP="00B34192">
      <w:pPr>
        <w:autoSpaceDE w:val="0"/>
        <w:autoSpaceDN w:val="0"/>
        <w:adjustRightInd w:val="0"/>
        <w:spacing w:before="0" w:after="0"/>
        <w:jc w:val="both"/>
        <w:rPr>
          <w:rFonts w:ascii="Times New Roman" w:hAnsi="Times New Roman" w:cs="Times New Roman"/>
          <w:sz w:val="24"/>
          <w:szCs w:val="24"/>
          <w:lang w:bidi="ar-SA"/>
        </w:rPr>
      </w:pPr>
      <w:r>
        <w:rPr>
          <w:rFonts w:ascii="Times New Roman" w:hAnsi="Times New Roman" w:cs="Times New Roman"/>
          <w:sz w:val="24"/>
          <w:szCs w:val="24"/>
          <w:lang w:bidi="ar-SA"/>
        </w:rPr>
        <w:t>Deux</w:t>
      </w:r>
      <w:r w:rsidR="00B34192" w:rsidRPr="00C73671">
        <w:rPr>
          <w:rFonts w:ascii="Times New Roman" w:hAnsi="Times New Roman" w:cs="Times New Roman"/>
          <w:sz w:val="24"/>
          <w:szCs w:val="24"/>
          <w:lang w:bidi="ar-SA"/>
        </w:rPr>
        <w:t xml:space="preserve"> classes ont manifesté des va</w:t>
      </w:r>
      <w:r>
        <w:rPr>
          <w:rFonts w:ascii="Times New Roman" w:hAnsi="Times New Roman" w:cs="Times New Roman"/>
          <w:sz w:val="24"/>
          <w:szCs w:val="24"/>
          <w:lang w:bidi="ar-SA"/>
        </w:rPr>
        <w:t>riations en diminution</w:t>
      </w:r>
      <w:r w:rsidR="00B34192" w:rsidRPr="00C73671">
        <w:rPr>
          <w:rFonts w:ascii="Times New Roman" w:hAnsi="Times New Roman" w:cs="Times New Roman"/>
          <w:sz w:val="24"/>
          <w:szCs w:val="24"/>
          <w:lang w:bidi="ar-SA"/>
        </w:rPr>
        <w:t xml:space="preserve"> </w:t>
      </w:r>
      <w:r>
        <w:rPr>
          <w:rFonts w:ascii="Times New Roman" w:hAnsi="Times New Roman" w:cs="Times New Roman"/>
          <w:sz w:val="24"/>
          <w:szCs w:val="24"/>
          <w:lang w:bidi="ar-SA"/>
        </w:rPr>
        <w:t xml:space="preserve">: les produits de la pêche (-18,7 %) et </w:t>
      </w:r>
      <w:r w:rsidR="00B34192" w:rsidRPr="00C73671">
        <w:rPr>
          <w:rFonts w:ascii="Times New Roman" w:hAnsi="Times New Roman" w:cs="Times New Roman"/>
          <w:sz w:val="24"/>
          <w:szCs w:val="24"/>
          <w:lang w:bidi="ar-SA"/>
        </w:rPr>
        <w:t>les légume</w:t>
      </w:r>
      <w:r>
        <w:rPr>
          <w:rFonts w:ascii="Times New Roman" w:hAnsi="Times New Roman" w:cs="Times New Roman"/>
          <w:sz w:val="24"/>
          <w:szCs w:val="24"/>
          <w:lang w:bidi="ar-SA"/>
        </w:rPr>
        <w:t>s frais (-8,5%)</w:t>
      </w:r>
      <w:r w:rsidR="00B34192" w:rsidRPr="00C73671">
        <w:rPr>
          <w:rFonts w:ascii="Times New Roman" w:hAnsi="Times New Roman" w:cs="Times New Roman"/>
          <w:sz w:val="24"/>
          <w:szCs w:val="24"/>
          <w:lang w:bidi="ar-SA"/>
        </w:rPr>
        <w:t>.  les autres classes de produits ont subi des variations en augmentation (voir les tableaux en annexe).</w:t>
      </w:r>
    </w:p>
    <w:p w:rsidR="00B34192" w:rsidRPr="00C73671" w:rsidRDefault="00B34192" w:rsidP="00B34192">
      <w:pPr>
        <w:autoSpaceDE w:val="0"/>
        <w:autoSpaceDN w:val="0"/>
        <w:adjustRightInd w:val="0"/>
        <w:spacing w:before="0" w:after="0" w:line="240" w:lineRule="auto"/>
        <w:jc w:val="both"/>
        <w:rPr>
          <w:rFonts w:ascii="Times New Roman" w:hAnsi="Times New Roman" w:cs="Times New Roman"/>
          <w:sz w:val="24"/>
          <w:szCs w:val="24"/>
          <w:lang w:bidi="ar-SA"/>
        </w:rPr>
      </w:pPr>
    </w:p>
    <w:p w:rsidR="00B34192" w:rsidRPr="00C73671" w:rsidRDefault="00B34192" w:rsidP="00B34192">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r w:rsidRPr="00C73671">
        <w:rPr>
          <w:rFonts w:ascii="Times New Roman" w:hAnsi="Times New Roman" w:cs="Times New Roman"/>
          <w:b/>
          <w:bCs/>
          <w:sz w:val="24"/>
          <w:szCs w:val="24"/>
          <w:lang w:bidi="ar-SA"/>
        </w:rPr>
        <w:t>Evolution annuelle des prix des produits agricoles</w:t>
      </w:r>
    </w:p>
    <w:p w:rsidR="00B34192" w:rsidRPr="00C73671" w:rsidRDefault="00B34192" w:rsidP="00B34192">
      <w:pPr>
        <w:pStyle w:val="Paragraphedeliste"/>
        <w:tabs>
          <w:tab w:val="left" w:pos="426"/>
        </w:tabs>
        <w:spacing w:before="120" w:after="0" w:line="240" w:lineRule="auto"/>
        <w:ind w:left="0"/>
        <w:contextualSpacing w:val="0"/>
        <w:jc w:val="both"/>
        <w:rPr>
          <w:rFonts w:ascii="Times New Roman" w:hAnsi="Times New Roman" w:cs="Times New Roman"/>
          <w:b/>
          <w:bCs/>
          <w:sz w:val="24"/>
          <w:szCs w:val="24"/>
          <w:lang w:bidi="ar-SA"/>
        </w:rPr>
      </w:pPr>
    </w:p>
    <w:p w:rsidR="00B34192" w:rsidRPr="00C73671" w:rsidRDefault="00B34192" w:rsidP="00B34192">
      <w:pPr>
        <w:autoSpaceDE w:val="0"/>
        <w:autoSpaceDN w:val="0"/>
        <w:adjustRightInd w:val="0"/>
        <w:spacing w:before="0" w:after="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En glissement annuel, l’évolution des</w:t>
      </w:r>
      <w:r w:rsidRPr="00C73671">
        <w:rPr>
          <w:rFonts w:ascii="Times New Roman" w:hAnsi="Times New Roman" w:cs="Times New Roman"/>
          <w:bCs/>
          <w:sz w:val="24"/>
          <w:szCs w:val="24"/>
          <w:lang w:bidi="ar-SA"/>
        </w:rPr>
        <w:t xml:space="preserve"> prix des produits agricoles</w:t>
      </w:r>
      <w:r w:rsidRPr="00C73671">
        <w:rPr>
          <w:rFonts w:ascii="Times New Roman" w:hAnsi="Times New Roman" w:cs="Times New Roman"/>
          <w:sz w:val="24"/>
          <w:szCs w:val="24"/>
          <w:lang w:bidi="ar-SA"/>
        </w:rPr>
        <w:t xml:space="preserve"> observe une augmentati</w:t>
      </w:r>
      <w:r w:rsidR="00A8120A">
        <w:rPr>
          <w:rFonts w:ascii="Times New Roman" w:hAnsi="Times New Roman" w:cs="Times New Roman"/>
          <w:sz w:val="24"/>
          <w:szCs w:val="24"/>
          <w:lang w:bidi="ar-SA"/>
        </w:rPr>
        <w:t>on de 25,8 % le mois de janvier 2023 contre une augmentation de 23,3</w:t>
      </w:r>
      <w:r w:rsidRPr="00C73671">
        <w:rPr>
          <w:rFonts w:ascii="Times New Roman" w:hAnsi="Times New Roman" w:cs="Times New Roman"/>
          <w:sz w:val="24"/>
          <w:szCs w:val="24"/>
          <w:lang w:bidi="ar-SA"/>
        </w:rPr>
        <w:t>% au mois précédent.</w:t>
      </w:r>
    </w:p>
    <w:p w:rsidR="00B34192" w:rsidRPr="00C73671" w:rsidRDefault="00B34192" w:rsidP="00B34192">
      <w:pPr>
        <w:spacing w:before="0" w:after="0"/>
        <w:jc w:val="both"/>
        <w:rPr>
          <w:rFonts w:ascii="Times New Roman" w:eastAsia="Times New Roman" w:hAnsi="Times New Roman" w:cs="Times New Roman"/>
          <w:sz w:val="24"/>
          <w:szCs w:val="24"/>
          <w:lang w:bidi="ar-SA"/>
        </w:rPr>
      </w:pPr>
      <w:r w:rsidRPr="00C73671">
        <w:rPr>
          <w:rFonts w:ascii="Times New Roman" w:hAnsi="Times New Roman" w:cs="Times New Roman"/>
          <w:sz w:val="24"/>
          <w:szCs w:val="24"/>
          <w:lang w:bidi="ar-SA"/>
        </w:rPr>
        <w:t xml:space="preserve">• Les céréales enregistrent une hausse de </w:t>
      </w:r>
      <w:r w:rsidR="005270B1">
        <w:rPr>
          <w:rFonts w:ascii="Times New Roman" w:eastAsia="Times New Roman" w:hAnsi="Times New Roman" w:cs="Times New Roman"/>
          <w:sz w:val="24"/>
          <w:szCs w:val="24"/>
          <w:lang w:bidi="ar-SA"/>
        </w:rPr>
        <w:t>71,4</w:t>
      </w:r>
      <w:r w:rsidRPr="00C73671">
        <w:rPr>
          <w:rFonts w:ascii="Times New Roman" w:eastAsia="Times New Roman" w:hAnsi="Times New Roman" w:cs="Times New Roman"/>
          <w:sz w:val="24"/>
          <w:szCs w:val="24"/>
          <w:lang w:bidi="ar-SA"/>
        </w:rPr>
        <w:t xml:space="preserve"> </w:t>
      </w:r>
      <w:r w:rsidRPr="00C73671">
        <w:rPr>
          <w:rFonts w:ascii="Times New Roman" w:hAnsi="Times New Roman" w:cs="Times New Roman"/>
          <w:sz w:val="24"/>
          <w:szCs w:val="24"/>
          <w:lang w:bidi="ar-SA"/>
        </w:rPr>
        <w:t>% contr</w:t>
      </w:r>
      <w:r w:rsidR="00A8120A">
        <w:rPr>
          <w:rFonts w:ascii="Times New Roman" w:hAnsi="Times New Roman" w:cs="Times New Roman"/>
          <w:sz w:val="24"/>
          <w:szCs w:val="24"/>
          <w:lang w:bidi="ar-SA"/>
        </w:rPr>
        <w:t>e une hausse de 76,3</w:t>
      </w:r>
      <w:r w:rsidRPr="00C73671">
        <w:rPr>
          <w:rFonts w:ascii="Times New Roman" w:hAnsi="Times New Roman" w:cs="Times New Roman"/>
          <w:sz w:val="24"/>
          <w:szCs w:val="24"/>
          <w:lang w:bidi="ar-SA"/>
        </w:rPr>
        <w:t>% par rapport au mois précédent.</w:t>
      </w:r>
    </w:p>
    <w:p w:rsidR="00B34192" w:rsidRPr="00C73671" w:rsidRDefault="00B34192" w:rsidP="00B34192">
      <w:pPr>
        <w:spacing w:before="0" w:after="0"/>
        <w:jc w:val="both"/>
        <w:rPr>
          <w:rFonts w:ascii="Times New Roman" w:eastAsia="Times New Roman" w:hAnsi="Times New Roman" w:cs="Times New Roman"/>
          <w:sz w:val="24"/>
          <w:szCs w:val="24"/>
          <w:lang w:bidi="ar-SA"/>
        </w:rPr>
      </w:pPr>
      <w:r w:rsidRPr="00C73671">
        <w:rPr>
          <w:rFonts w:ascii="Times New Roman" w:hAnsi="Times New Roman" w:cs="Times New Roman"/>
          <w:sz w:val="24"/>
          <w:szCs w:val="24"/>
          <w:lang w:bidi="ar-SA"/>
        </w:rPr>
        <w:t xml:space="preserve">• Les tubercules et les racines ont connu une augmentation de </w:t>
      </w:r>
      <w:r w:rsidR="005270B1">
        <w:rPr>
          <w:rFonts w:ascii="Times New Roman" w:eastAsia="Times New Roman" w:hAnsi="Times New Roman" w:cs="Times New Roman"/>
          <w:sz w:val="24"/>
          <w:szCs w:val="24"/>
          <w:lang w:bidi="ar-SA"/>
        </w:rPr>
        <w:t>21,9</w:t>
      </w:r>
      <w:r w:rsidRPr="00C73671">
        <w:rPr>
          <w:rFonts w:ascii="Times New Roman" w:eastAsia="Times New Roman" w:hAnsi="Times New Roman" w:cs="Times New Roman"/>
          <w:sz w:val="24"/>
          <w:szCs w:val="24"/>
          <w:lang w:bidi="ar-SA"/>
        </w:rPr>
        <w:t xml:space="preserve"> </w:t>
      </w:r>
      <w:r w:rsidRPr="00C73671">
        <w:rPr>
          <w:rFonts w:ascii="Times New Roman" w:hAnsi="Times New Roman" w:cs="Times New Roman"/>
          <w:sz w:val="24"/>
          <w:szCs w:val="24"/>
          <w:lang w:bidi="ar-SA"/>
        </w:rPr>
        <w:t>%</w:t>
      </w:r>
      <w:r w:rsidR="00A8120A">
        <w:rPr>
          <w:rFonts w:ascii="Times New Roman" w:hAnsi="Times New Roman" w:cs="Times New Roman"/>
          <w:sz w:val="24"/>
          <w:szCs w:val="24"/>
          <w:lang w:bidi="ar-SA"/>
        </w:rPr>
        <w:t xml:space="preserve"> contre une augmentation de 19,9</w:t>
      </w:r>
      <w:r w:rsidRPr="00C73671">
        <w:rPr>
          <w:rFonts w:ascii="Times New Roman" w:hAnsi="Times New Roman" w:cs="Times New Roman"/>
          <w:sz w:val="24"/>
          <w:szCs w:val="24"/>
          <w:lang w:bidi="ar-SA"/>
        </w:rPr>
        <w:t>% par rapport au mois précédent.</w:t>
      </w:r>
    </w:p>
    <w:p w:rsidR="00B34192" w:rsidRPr="00C73671" w:rsidRDefault="00B34192" w:rsidP="00B34192">
      <w:pPr>
        <w:spacing w:before="0" w:after="0"/>
        <w:jc w:val="both"/>
        <w:rPr>
          <w:rFonts w:ascii="Times New Roman" w:eastAsia="Times New Roman" w:hAnsi="Times New Roman" w:cs="Times New Roman"/>
          <w:sz w:val="24"/>
          <w:szCs w:val="24"/>
          <w:lang w:bidi="ar-SA"/>
        </w:rPr>
      </w:pPr>
      <w:r w:rsidRPr="00C73671">
        <w:rPr>
          <w:rFonts w:ascii="Times New Roman" w:hAnsi="Times New Roman" w:cs="Times New Roman"/>
          <w:sz w:val="24"/>
          <w:szCs w:val="24"/>
          <w:lang w:bidi="ar-SA"/>
        </w:rPr>
        <w:t xml:space="preserve">• La classe des légumineuses a connu une hausse de </w:t>
      </w:r>
      <w:r w:rsidR="005270B1">
        <w:rPr>
          <w:rFonts w:ascii="Times New Roman" w:eastAsia="Times New Roman" w:hAnsi="Times New Roman" w:cs="Times New Roman"/>
          <w:sz w:val="24"/>
          <w:szCs w:val="24"/>
          <w:lang w:bidi="ar-SA"/>
        </w:rPr>
        <w:t>77,6</w:t>
      </w:r>
      <w:r w:rsidRPr="00C73671">
        <w:rPr>
          <w:rFonts w:ascii="Times New Roman" w:eastAsia="Times New Roman" w:hAnsi="Times New Roman" w:cs="Times New Roman"/>
          <w:sz w:val="24"/>
          <w:szCs w:val="24"/>
          <w:lang w:bidi="ar-SA"/>
        </w:rPr>
        <w:t xml:space="preserve"> </w:t>
      </w:r>
      <w:r w:rsidRPr="00C73671">
        <w:rPr>
          <w:rFonts w:ascii="Times New Roman" w:hAnsi="Times New Roman" w:cs="Times New Roman"/>
          <w:sz w:val="24"/>
          <w:szCs w:val="24"/>
          <w:lang w:bidi="ar-SA"/>
        </w:rPr>
        <w:t>% contre une h</w:t>
      </w:r>
      <w:r w:rsidR="005270B1">
        <w:rPr>
          <w:rFonts w:ascii="Times New Roman" w:hAnsi="Times New Roman" w:cs="Times New Roman"/>
          <w:sz w:val="24"/>
          <w:szCs w:val="24"/>
          <w:lang w:bidi="ar-SA"/>
        </w:rPr>
        <w:t>ausse de 54,9</w:t>
      </w:r>
      <w:r w:rsidRPr="00C73671">
        <w:rPr>
          <w:rFonts w:ascii="Times New Roman" w:hAnsi="Times New Roman" w:cs="Times New Roman"/>
          <w:sz w:val="24"/>
          <w:szCs w:val="24"/>
          <w:lang w:bidi="ar-SA"/>
        </w:rPr>
        <w:t>% par rapport au mois précédent.</w:t>
      </w:r>
    </w:p>
    <w:p w:rsidR="00B34192" w:rsidRPr="00C73671" w:rsidRDefault="00B34192" w:rsidP="00B34192">
      <w:pPr>
        <w:spacing w:before="0" w:after="0"/>
        <w:jc w:val="both"/>
        <w:rPr>
          <w:rFonts w:ascii="Times New Roman" w:eastAsia="Times New Roman" w:hAnsi="Times New Roman" w:cs="Times New Roman"/>
          <w:sz w:val="24"/>
          <w:szCs w:val="24"/>
          <w:lang w:bidi="ar-SA"/>
        </w:rPr>
      </w:pPr>
      <w:r w:rsidRPr="00C73671">
        <w:rPr>
          <w:rFonts w:ascii="Times New Roman" w:hAnsi="Times New Roman" w:cs="Times New Roman"/>
          <w:sz w:val="24"/>
          <w:szCs w:val="24"/>
          <w:lang w:bidi="ar-SA"/>
        </w:rPr>
        <w:t xml:space="preserve">• La banane a connu une hausse de </w:t>
      </w:r>
      <w:r w:rsidR="005270B1">
        <w:rPr>
          <w:rFonts w:ascii="Times New Roman" w:eastAsia="Times New Roman" w:hAnsi="Times New Roman" w:cs="Times New Roman"/>
          <w:sz w:val="24"/>
          <w:szCs w:val="24"/>
          <w:lang w:bidi="ar-SA"/>
        </w:rPr>
        <w:t>19,6</w:t>
      </w:r>
      <w:r w:rsidRPr="00C73671">
        <w:rPr>
          <w:rFonts w:ascii="Times New Roman" w:eastAsia="Times New Roman" w:hAnsi="Times New Roman" w:cs="Times New Roman"/>
          <w:sz w:val="24"/>
          <w:szCs w:val="24"/>
          <w:lang w:bidi="ar-SA"/>
        </w:rPr>
        <w:t xml:space="preserve"> </w:t>
      </w:r>
      <w:r w:rsidR="005270B1">
        <w:rPr>
          <w:rFonts w:ascii="Times New Roman" w:hAnsi="Times New Roman" w:cs="Times New Roman"/>
          <w:sz w:val="24"/>
          <w:szCs w:val="24"/>
          <w:lang w:bidi="ar-SA"/>
        </w:rPr>
        <w:t>% contre une hausse de 26,4</w:t>
      </w:r>
      <w:r w:rsidRPr="00C73671">
        <w:rPr>
          <w:rFonts w:ascii="Times New Roman" w:hAnsi="Times New Roman" w:cs="Times New Roman"/>
          <w:sz w:val="24"/>
          <w:szCs w:val="24"/>
          <w:lang w:bidi="ar-SA"/>
        </w:rPr>
        <w:t xml:space="preserve">% par rapport au mois précédent. </w:t>
      </w:r>
    </w:p>
    <w:p w:rsidR="00B34192" w:rsidRPr="00C73671" w:rsidRDefault="00B34192" w:rsidP="00B34192">
      <w:pPr>
        <w:pStyle w:val="Paragraphedeliste"/>
        <w:tabs>
          <w:tab w:val="left" w:pos="426"/>
        </w:tabs>
        <w:spacing w:before="120" w:after="0" w:line="240" w:lineRule="auto"/>
        <w:ind w:left="0"/>
        <w:contextualSpacing w:val="0"/>
        <w:jc w:val="both"/>
        <w:rPr>
          <w:rFonts w:ascii="Times New Roman" w:hAnsi="Times New Roman" w:cs="Times New Roman"/>
          <w:b/>
          <w:bCs/>
          <w:sz w:val="22"/>
          <w:szCs w:val="22"/>
          <w:lang w:bidi="ar-SA"/>
        </w:rPr>
      </w:pPr>
    </w:p>
    <w:p w:rsidR="00B34192" w:rsidRPr="00C73671" w:rsidRDefault="00B34192" w:rsidP="00B34192">
      <w:pPr>
        <w:pStyle w:val="Paragraphedeliste"/>
        <w:tabs>
          <w:tab w:val="left" w:pos="426"/>
        </w:tabs>
        <w:spacing w:before="120" w:after="0" w:line="240" w:lineRule="auto"/>
        <w:ind w:left="0"/>
        <w:contextualSpacing w:val="0"/>
        <w:jc w:val="both"/>
        <w:rPr>
          <w:rFonts w:ascii="Times New Roman" w:hAnsi="Times New Roman" w:cs="Times New Roman"/>
          <w:b/>
          <w:bCs/>
          <w:sz w:val="22"/>
          <w:szCs w:val="22"/>
          <w:lang w:bidi="ar-SA"/>
        </w:rPr>
      </w:pPr>
    </w:p>
    <w:p w:rsidR="00B34192" w:rsidRPr="00597E27" w:rsidRDefault="00B34192" w:rsidP="00B34192">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B34192" w:rsidRPr="00597E27" w:rsidRDefault="00B34192" w:rsidP="00B34192">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B34192" w:rsidRPr="00597E27" w:rsidRDefault="00B34192" w:rsidP="00B34192">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B34192" w:rsidRPr="00597E27" w:rsidRDefault="00B34192" w:rsidP="00B34192">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B34192" w:rsidRPr="00597E27" w:rsidRDefault="00B34192" w:rsidP="00B34192">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B34192" w:rsidRDefault="00B34192" w:rsidP="00B34192">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B34192" w:rsidRPr="00597E27" w:rsidRDefault="00B34192" w:rsidP="00B34192">
      <w:pPr>
        <w:pStyle w:val="Paragraphedeliste"/>
        <w:tabs>
          <w:tab w:val="left" w:pos="426"/>
        </w:tabs>
        <w:spacing w:before="120" w:after="0" w:line="240" w:lineRule="auto"/>
        <w:ind w:left="0"/>
        <w:contextualSpacing w:val="0"/>
        <w:jc w:val="both"/>
        <w:rPr>
          <w:rFonts w:ascii="Tahoma" w:hAnsi="Tahoma" w:cs="Tahoma"/>
          <w:b/>
          <w:bCs/>
          <w:sz w:val="22"/>
          <w:szCs w:val="22"/>
          <w:lang w:bidi="ar-SA"/>
        </w:rPr>
      </w:pPr>
    </w:p>
    <w:p w:rsidR="00B34192" w:rsidRDefault="00B34192" w:rsidP="00B34192">
      <w:pPr>
        <w:spacing w:before="0" w:after="0" w:line="240" w:lineRule="auto"/>
        <w:jc w:val="both"/>
        <w:rPr>
          <w:rFonts w:ascii="Tahoma" w:hAnsi="Tahoma" w:cs="Tahoma"/>
          <w:b/>
          <w:bCs/>
          <w:sz w:val="24"/>
          <w:szCs w:val="24"/>
          <w:lang w:bidi="ar-SA"/>
        </w:rPr>
      </w:pPr>
    </w:p>
    <w:p w:rsidR="00C73671" w:rsidRDefault="00C73671" w:rsidP="00B34192">
      <w:pPr>
        <w:spacing w:before="0" w:after="0" w:line="240" w:lineRule="auto"/>
        <w:jc w:val="both"/>
        <w:rPr>
          <w:rFonts w:ascii="Tahoma" w:hAnsi="Tahoma" w:cs="Tahoma"/>
          <w:b/>
          <w:bCs/>
          <w:sz w:val="24"/>
          <w:szCs w:val="24"/>
          <w:lang w:bidi="ar-SA"/>
        </w:rPr>
      </w:pPr>
    </w:p>
    <w:p w:rsidR="00C73671" w:rsidRDefault="00C73671" w:rsidP="00B34192">
      <w:pPr>
        <w:spacing w:before="0" w:after="0" w:line="240" w:lineRule="auto"/>
        <w:jc w:val="both"/>
        <w:rPr>
          <w:rFonts w:ascii="Tahoma" w:hAnsi="Tahoma" w:cs="Tahoma"/>
          <w:b/>
          <w:bCs/>
          <w:sz w:val="24"/>
          <w:szCs w:val="24"/>
          <w:lang w:bidi="ar-SA"/>
        </w:rPr>
      </w:pPr>
    </w:p>
    <w:p w:rsidR="00C73671" w:rsidRDefault="00C73671" w:rsidP="00B34192">
      <w:pPr>
        <w:spacing w:before="0" w:after="0" w:line="240" w:lineRule="auto"/>
        <w:jc w:val="both"/>
        <w:rPr>
          <w:rFonts w:ascii="Tahoma" w:hAnsi="Tahoma" w:cs="Tahoma"/>
          <w:b/>
          <w:bCs/>
          <w:sz w:val="24"/>
          <w:szCs w:val="24"/>
          <w:lang w:bidi="ar-SA"/>
        </w:rPr>
      </w:pPr>
    </w:p>
    <w:p w:rsidR="00C73671" w:rsidRDefault="00C73671" w:rsidP="00B34192">
      <w:pPr>
        <w:spacing w:before="0" w:after="0" w:line="240" w:lineRule="auto"/>
        <w:jc w:val="both"/>
        <w:rPr>
          <w:rFonts w:ascii="Tahoma" w:hAnsi="Tahoma" w:cs="Tahoma"/>
          <w:b/>
          <w:bCs/>
          <w:sz w:val="24"/>
          <w:szCs w:val="24"/>
          <w:lang w:bidi="ar-SA"/>
        </w:rPr>
      </w:pPr>
    </w:p>
    <w:p w:rsidR="00B34192" w:rsidRPr="00C73671" w:rsidRDefault="00B34192" w:rsidP="00B34192">
      <w:pPr>
        <w:spacing w:before="0" w:after="0" w:line="240" w:lineRule="auto"/>
        <w:jc w:val="both"/>
        <w:rPr>
          <w:rFonts w:ascii="Times New Roman" w:eastAsia="Times New Roman" w:hAnsi="Times New Roman" w:cs="Times New Roman"/>
          <w:b/>
          <w:color w:val="000000"/>
          <w:sz w:val="24"/>
          <w:szCs w:val="24"/>
          <w:lang w:bidi="ar-SA"/>
        </w:rPr>
      </w:pPr>
      <w:r w:rsidRPr="00C73671">
        <w:rPr>
          <w:rFonts w:ascii="Times New Roman" w:hAnsi="Times New Roman" w:cs="Times New Roman"/>
          <w:b/>
          <w:bCs/>
          <w:sz w:val="24"/>
          <w:szCs w:val="24"/>
          <w:lang w:bidi="ar-SA"/>
        </w:rPr>
        <w:lastRenderedPageBreak/>
        <w:t>Graphique 1 : Evolution de l’indice des prix des céréales, des légumineuses,</w:t>
      </w:r>
      <w:r w:rsidRPr="00C73671">
        <w:rPr>
          <w:rFonts w:ascii="Times New Roman" w:eastAsia="Times New Roman" w:hAnsi="Times New Roman" w:cs="Times New Roman"/>
          <w:b/>
          <w:color w:val="000000"/>
          <w:sz w:val="24"/>
          <w:szCs w:val="24"/>
          <w:lang w:bidi="ar-SA"/>
        </w:rPr>
        <w:t xml:space="preserve"> des plantes oléagineuses, des tubercules/racines et des cultures industrielles</w:t>
      </w:r>
    </w:p>
    <w:p w:rsidR="00B34192" w:rsidRPr="00857793" w:rsidRDefault="00B34192" w:rsidP="00B34192">
      <w:pPr>
        <w:pStyle w:val="Paragraphedeliste"/>
        <w:tabs>
          <w:tab w:val="left" w:pos="426"/>
        </w:tabs>
        <w:spacing w:before="120" w:after="0" w:line="240" w:lineRule="auto"/>
        <w:ind w:left="0"/>
        <w:contextualSpacing w:val="0"/>
        <w:jc w:val="both"/>
        <w:rPr>
          <w:rFonts w:ascii="Tahoma" w:hAnsi="Tahoma" w:cs="Tahoma"/>
          <w:b/>
          <w:bCs/>
          <w:sz w:val="22"/>
          <w:szCs w:val="22"/>
          <w:lang w:bidi="ar-SA"/>
        </w:rPr>
      </w:pPr>
      <w:r>
        <w:rPr>
          <w:noProof/>
          <w:lang w:val="en-US" w:bidi="ar-SA"/>
        </w:rPr>
        <w:drawing>
          <wp:inline distT="0" distB="0" distL="0" distR="0" wp14:anchorId="529B669E" wp14:editId="0CC86F04">
            <wp:extent cx="5324475" cy="2667000"/>
            <wp:effectExtent l="0" t="0" r="9525"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34192" w:rsidRDefault="00B34192" w:rsidP="00B34192">
      <w:pPr>
        <w:spacing w:before="0" w:after="0" w:line="240" w:lineRule="auto"/>
        <w:jc w:val="both"/>
        <w:rPr>
          <w:rFonts w:ascii="Tahoma" w:hAnsi="Tahoma" w:cs="Tahoma"/>
          <w:b/>
          <w:bCs/>
          <w:sz w:val="24"/>
          <w:szCs w:val="24"/>
          <w:lang w:bidi="ar-SA"/>
        </w:rPr>
      </w:pPr>
    </w:p>
    <w:p w:rsidR="00B34192" w:rsidRPr="00C73671" w:rsidRDefault="00B34192" w:rsidP="00B34192">
      <w:pPr>
        <w:spacing w:before="0" w:after="0" w:line="240" w:lineRule="auto"/>
        <w:jc w:val="both"/>
        <w:rPr>
          <w:rFonts w:ascii="Times New Roman" w:eastAsia="Times New Roman" w:hAnsi="Times New Roman" w:cs="Times New Roman"/>
          <w:b/>
          <w:color w:val="000000"/>
          <w:sz w:val="24"/>
          <w:szCs w:val="24"/>
          <w:lang w:bidi="ar-SA"/>
        </w:rPr>
      </w:pPr>
      <w:r w:rsidRPr="00C73671">
        <w:rPr>
          <w:rFonts w:ascii="Times New Roman" w:hAnsi="Times New Roman" w:cs="Times New Roman"/>
          <w:b/>
          <w:bCs/>
          <w:sz w:val="24"/>
          <w:szCs w:val="24"/>
          <w:lang w:bidi="ar-SA"/>
        </w:rPr>
        <w:t>Graphique 2 : Evolution de l’indice des prix des légumes frais, des bananes,</w:t>
      </w:r>
      <w:r w:rsidRPr="00C73671">
        <w:rPr>
          <w:rFonts w:ascii="Times New Roman" w:eastAsia="Times New Roman" w:hAnsi="Times New Roman" w:cs="Times New Roman"/>
          <w:b/>
          <w:color w:val="000000"/>
          <w:sz w:val="24"/>
          <w:szCs w:val="24"/>
          <w:lang w:bidi="ar-SA"/>
        </w:rPr>
        <w:t xml:space="preserve"> des fruits frais ; des produits de la sylviculture et des </w:t>
      </w:r>
      <w:r w:rsidRPr="00C73671">
        <w:rPr>
          <w:rFonts w:ascii="Times New Roman" w:hAnsi="Times New Roman" w:cs="Times New Roman"/>
          <w:b/>
          <w:sz w:val="24"/>
          <w:szCs w:val="24"/>
        </w:rPr>
        <w:t>produits</w:t>
      </w:r>
      <w:r w:rsidRPr="00C73671">
        <w:rPr>
          <w:rFonts w:ascii="Times New Roman" w:eastAsia="Times New Roman" w:hAnsi="Times New Roman" w:cs="Times New Roman"/>
          <w:b/>
          <w:color w:val="000000"/>
          <w:sz w:val="24"/>
          <w:szCs w:val="24"/>
          <w:lang w:bidi="ar-SA"/>
        </w:rPr>
        <w:t xml:space="preserve"> de la pêche (coutumière et artisanale)</w:t>
      </w:r>
    </w:p>
    <w:p w:rsidR="00B34192" w:rsidRPr="00332C07" w:rsidRDefault="00B34192" w:rsidP="00B34192">
      <w:pPr>
        <w:spacing w:before="0" w:after="0" w:line="240" w:lineRule="auto"/>
        <w:jc w:val="both"/>
        <w:rPr>
          <w:rFonts w:ascii="Tahoma" w:eastAsia="Times New Roman" w:hAnsi="Tahoma" w:cs="Tahoma"/>
          <w:b/>
          <w:color w:val="000000"/>
          <w:sz w:val="24"/>
          <w:szCs w:val="24"/>
          <w:lang w:bidi="ar-SA"/>
        </w:rPr>
      </w:pPr>
    </w:p>
    <w:p w:rsidR="00B34192" w:rsidRDefault="00B34192" w:rsidP="00B34192">
      <w:pPr>
        <w:spacing w:before="0" w:after="0" w:line="240" w:lineRule="auto"/>
        <w:jc w:val="both"/>
        <w:rPr>
          <w:rFonts w:ascii="Tahoma" w:hAnsi="Tahoma" w:cs="Tahoma"/>
          <w:b/>
          <w:bCs/>
          <w:sz w:val="24"/>
          <w:szCs w:val="24"/>
          <w:lang w:bidi="ar-SA"/>
        </w:rPr>
      </w:pPr>
      <w:r>
        <w:rPr>
          <w:noProof/>
          <w:lang w:val="en-US" w:bidi="ar-SA"/>
        </w:rPr>
        <w:drawing>
          <wp:inline distT="0" distB="0" distL="0" distR="0" wp14:anchorId="411C284A" wp14:editId="130ADDE4">
            <wp:extent cx="6096000" cy="2543175"/>
            <wp:effectExtent l="0" t="0" r="0" b="952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34192" w:rsidRDefault="00B34192" w:rsidP="00B34192">
      <w:pPr>
        <w:spacing w:before="0" w:after="0" w:line="240" w:lineRule="auto"/>
        <w:jc w:val="both"/>
        <w:rPr>
          <w:rFonts w:ascii="Tahoma" w:hAnsi="Tahoma" w:cs="Tahoma"/>
          <w:b/>
          <w:bCs/>
          <w:sz w:val="24"/>
          <w:szCs w:val="24"/>
          <w:lang w:bidi="ar-SA"/>
        </w:rPr>
      </w:pPr>
    </w:p>
    <w:p w:rsidR="00B34192" w:rsidRDefault="00B34192" w:rsidP="00B34192">
      <w:pPr>
        <w:spacing w:before="0" w:after="0" w:line="240" w:lineRule="auto"/>
        <w:jc w:val="both"/>
        <w:rPr>
          <w:rFonts w:ascii="Tahoma" w:hAnsi="Tahoma" w:cs="Tahoma"/>
          <w:b/>
          <w:bCs/>
          <w:sz w:val="24"/>
          <w:szCs w:val="24"/>
          <w:lang w:bidi="ar-SA"/>
        </w:rPr>
      </w:pPr>
    </w:p>
    <w:p w:rsidR="00B34192" w:rsidRDefault="00B34192" w:rsidP="00B34192">
      <w:pPr>
        <w:spacing w:before="0" w:after="0" w:line="240" w:lineRule="auto"/>
        <w:jc w:val="both"/>
        <w:rPr>
          <w:rFonts w:ascii="Tahoma" w:hAnsi="Tahoma" w:cs="Tahoma"/>
          <w:b/>
          <w:bCs/>
          <w:sz w:val="24"/>
          <w:szCs w:val="24"/>
          <w:lang w:bidi="ar-SA"/>
        </w:rPr>
      </w:pPr>
    </w:p>
    <w:p w:rsidR="00C73671" w:rsidRDefault="00C73671" w:rsidP="00B34192">
      <w:pPr>
        <w:spacing w:before="0" w:after="0" w:line="240" w:lineRule="auto"/>
        <w:jc w:val="both"/>
        <w:rPr>
          <w:rFonts w:ascii="Tahoma" w:hAnsi="Tahoma" w:cs="Tahoma"/>
          <w:b/>
          <w:bCs/>
          <w:sz w:val="24"/>
          <w:szCs w:val="24"/>
          <w:lang w:bidi="ar-SA"/>
        </w:rPr>
      </w:pPr>
    </w:p>
    <w:p w:rsidR="00C73671" w:rsidRDefault="00C73671" w:rsidP="00B34192">
      <w:pPr>
        <w:spacing w:before="0" w:after="0" w:line="240" w:lineRule="auto"/>
        <w:jc w:val="both"/>
        <w:rPr>
          <w:rFonts w:ascii="Tahoma" w:hAnsi="Tahoma" w:cs="Tahoma"/>
          <w:b/>
          <w:bCs/>
          <w:sz w:val="24"/>
          <w:szCs w:val="24"/>
          <w:lang w:bidi="ar-SA"/>
        </w:rPr>
      </w:pPr>
    </w:p>
    <w:p w:rsidR="00C73671" w:rsidRDefault="00C73671" w:rsidP="00B34192">
      <w:pPr>
        <w:spacing w:before="0" w:after="0" w:line="240" w:lineRule="auto"/>
        <w:jc w:val="both"/>
        <w:rPr>
          <w:rFonts w:ascii="Tahoma" w:hAnsi="Tahoma" w:cs="Tahoma"/>
          <w:b/>
          <w:bCs/>
          <w:sz w:val="24"/>
          <w:szCs w:val="24"/>
          <w:lang w:bidi="ar-SA"/>
        </w:rPr>
      </w:pPr>
    </w:p>
    <w:p w:rsidR="00B34192" w:rsidRPr="00C73671" w:rsidRDefault="00B34192" w:rsidP="00B34192">
      <w:pPr>
        <w:spacing w:before="0" w:after="0" w:line="240" w:lineRule="auto"/>
        <w:jc w:val="both"/>
        <w:rPr>
          <w:rFonts w:ascii="Times New Roman" w:eastAsia="Times New Roman" w:hAnsi="Times New Roman" w:cs="Times New Roman"/>
          <w:color w:val="000000"/>
          <w:sz w:val="24"/>
          <w:szCs w:val="24"/>
          <w:lang w:bidi="ar-SA"/>
        </w:rPr>
      </w:pPr>
      <w:r w:rsidRPr="00C73671">
        <w:rPr>
          <w:rFonts w:ascii="Times New Roman" w:hAnsi="Times New Roman" w:cs="Times New Roman"/>
          <w:b/>
          <w:bCs/>
          <w:sz w:val="24"/>
          <w:szCs w:val="24"/>
          <w:lang w:bidi="ar-SA"/>
        </w:rPr>
        <w:t xml:space="preserve">Graphique 3 : Evolution de l’indice des prix des bovins ; ovins/caprins ; des porcins ; des autres produits élevages et volailles ; des sous-produits de l'élevage, </w:t>
      </w:r>
    </w:p>
    <w:p w:rsidR="00B34192" w:rsidRPr="00597E27" w:rsidRDefault="00B34192" w:rsidP="00B34192">
      <w:pPr>
        <w:pStyle w:val="Paragraphedeliste"/>
        <w:tabs>
          <w:tab w:val="left" w:pos="426"/>
        </w:tabs>
        <w:spacing w:before="120" w:after="0" w:line="240" w:lineRule="auto"/>
        <w:ind w:left="0"/>
        <w:contextualSpacing w:val="0"/>
        <w:jc w:val="both"/>
        <w:rPr>
          <w:rFonts w:ascii="Tahoma" w:hAnsi="Tahoma" w:cs="Tahoma"/>
          <w:sz w:val="24"/>
          <w:szCs w:val="24"/>
        </w:rPr>
      </w:pPr>
    </w:p>
    <w:p w:rsidR="00B34192" w:rsidRPr="00597E27" w:rsidRDefault="00B34192" w:rsidP="00B34192">
      <w:pPr>
        <w:pStyle w:val="Paragraphedeliste"/>
        <w:tabs>
          <w:tab w:val="left" w:pos="426"/>
        </w:tabs>
        <w:spacing w:before="120" w:after="0" w:line="240" w:lineRule="auto"/>
        <w:ind w:left="0"/>
        <w:contextualSpacing w:val="0"/>
        <w:jc w:val="both"/>
        <w:rPr>
          <w:rFonts w:ascii="Tahoma" w:hAnsi="Tahoma" w:cs="Tahoma"/>
          <w:sz w:val="24"/>
          <w:szCs w:val="24"/>
        </w:rPr>
        <w:sectPr w:rsidR="00B34192" w:rsidRPr="00597E27" w:rsidSect="00A96F06">
          <w:footerReference w:type="default" r:id="rId15"/>
          <w:pgSz w:w="12240" w:h="15840"/>
          <w:pgMar w:top="1440" w:right="1440" w:bottom="1440" w:left="1418" w:header="720" w:footer="720" w:gutter="0"/>
          <w:cols w:space="720"/>
          <w:docGrid w:linePitch="360"/>
        </w:sectPr>
      </w:pPr>
      <w:r>
        <w:rPr>
          <w:noProof/>
          <w:lang w:val="en-US" w:bidi="ar-SA"/>
        </w:rPr>
        <w:drawing>
          <wp:inline distT="0" distB="0" distL="0" distR="0" wp14:anchorId="4003BDE0" wp14:editId="3357B0F6">
            <wp:extent cx="5553076" cy="3276600"/>
            <wp:effectExtent l="0" t="0" r="9525"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34192" w:rsidRPr="00A96F06" w:rsidRDefault="00B34192" w:rsidP="00B34192">
      <w:pPr>
        <w:rPr>
          <w:rFonts w:ascii="Times New Roman" w:hAnsi="Times New Roman" w:cs="Times New Roman"/>
          <w:b/>
          <w:sz w:val="24"/>
          <w:szCs w:val="24"/>
          <w:lang w:val="af-ZA"/>
        </w:rPr>
      </w:pPr>
      <w:r w:rsidRPr="00A96F06">
        <w:rPr>
          <w:rFonts w:ascii="Times New Roman" w:hAnsi="Times New Roman" w:cs="Times New Roman"/>
          <w:b/>
          <w:sz w:val="24"/>
          <w:szCs w:val="24"/>
          <w:lang w:val="af-ZA"/>
        </w:rPr>
        <w:lastRenderedPageBreak/>
        <w:t>Annexe 1: Evolution de l’ indice par classe de produits</w:t>
      </w:r>
    </w:p>
    <w:tbl>
      <w:tblPr>
        <w:tblW w:w="8789" w:type="dxa"/>
        <w:tblLook w:val="04A0" w:firstRow="1" w:lastRow="0" w:firstColumn="1" w:lastColumn="0" w:noHBand="0" w:noVBand="1"/>
      </w:tblPr>
      <w:tblGrid>
        <w:gridCol w:w="2647"/>
        <w:gridCol w:w="1280"/>
        <w:gridCol w:w="711"/>
        <w:gridCol w:w="711"/>
        <w:gridCol w:w="711"/>
        <w:gridCol w:w="711"/>
        <w:gridCol w:w="711"/>
        <w:gridCol w:w="711"/>
        <w:gridCol w:w="669"/>
        <w:gridCol w:w="656"/>
        <w:gridCol w:w="791"/>
      </w:tblGrid>
      <w:tr w:rsidR="00A96F06" w:rsidRPr="00A96F06" w:rsidTr="00A96F06">
        <w:trPr>
          <w:trHeight w:val="282"/>
        </w:trPr>
        <w:tc>
          <w:tcPr>
            <w:tcW w:w="2647" w:type="dxa"/>
            <w:vMerge w:val="restart"/>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A96F06" w:rsidRPr="00A96F06" w:rsidRDefault="00A96F06" w:rsidP="00A96F06">
            <w:pPr>
              <w:spacing w:before="0" w:after="0" w:line="240" w:lineRule="auto"/>
              <w:jc w:val="center"/>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Nom de classe</w:t>
            </w:r>
          </w:p>
        </w:tc>
        <w:tc>
          <w:tcPr>
            <w:tcW w:w="1056" w:type="dxa"/>
            <w:vMerge w:val="restart"/>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A96F06" w:rsidRPr="00A96F06" w:rsidRDefault="00A96F06" w:rsidP="00A96F06">
            <w:pPr>
              <w:spacing w:before="0" w:after="0" w:line="240" w:lineRule="auto"/>
              <w:jc w:val="center"/>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Pondération</w:t>
            </w:r>
          </w:p>
        </w:tc>
        <w:tc>
          <w:tcPr>
            <w:tcW w:w="3430" w:type="dxa"/>
            <w:gridSpan w:val="6"/>
            <w:tcBorders>
              <w:top w:val="single" w:sz="4" w:space="0" w:color="auto"/>
              <w:left w:val="nil"/>
              <w:bottom w:val="single" w:sz="4" w:space="0" w:color="auto"/>
              <w:right w:val="single" w:sz="4" w:space="0" w:color="auto"/>
            </w:tcBorders>
            <w:shd w:val="clear" w:color="000000" w:fill="92D050"/>
            <w:noWrap/>
            <w:vAlign w:val="bottom"/>
            <w:hideMark/>
          </w:tcPr>
          <w:p w:rsidR="00A96F06" w:rsidRPr="00A96F06" w:rsidRDefault="00A96F06" w:rsidP="00A96F06">
            <w:pPr>
              <w:spacing w:before="0" w:after="0" w:line="240" w:lineRule="auto"/>
              <w:jc w:val="center"/>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Indices</w:t>
            </w:r>
          </w:p>
        </w:tc>
        <w:tc>
          <w:tcPr>
            <w:tcW w:w="1656" w:type="dxa"/>
            <w:gridSpan w:val="3"/>
            <w:tcBorders>
              <w:top w:val="single" w:sz="4" w:space="0" w:color="auto"/>
              <w:left w:val="nil"/>
              <w:bottom w:val="single" w:sz="4" w:space="0" w:color="auto"/>
              <w:right w:val="single" w:sz="4" w:space="0" w:color="auto"/>
            </w:tcBorders>
            <w:shd w:val="clear" w:color="000000" w:fill="92D050"/>
            <w:noWrap/>
            <w:vAlign w:val="bottom"/>
            <w:hideMark/>
          </w:tcPr>
          <w:p w:rsidR="00A96F06" w:rsidRPr="00A96F06" w:rsidRDefault="00A96F06" w:rsidP="00A96F06">
            <w:pPr>
              <w:spacing w:before="0" w:after="0" w:line="240" w:lineRule="auto"/>
              <w:jc w:val="center"/>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Variation en %sur:</w:t>
            </w:r>
          </w:p>
        </w:tc>
      </w:tr>
      <w:tr w:rsidR="00A96F06" w:rsidRPr="00A96F06" w:rsidTr="00A96F06">
        <w:trPr>
          <w:trHeight w:val="282"/>
        </w:trPr>
        <w:tc>
          <w:tcPr>
            <w:tcW w:w="2647" w:type="dxa"/>
            <w:vMerge/>
            <w:tcBorders>
              <w:top w:val="single" w:sz="4" w:space="0" w:color="auto"/>
              <w:left w:val="single" w:sz="4" w:space="0" w:color="auto"/>
              <w:bottom w:val="single" w:sz="4" w:space="0" w:color="auto"/>
              <w:right w:val="single" w:sz="4" w:space="0" w:color="auto"/>
            </w:tcBorders>
            <w:vAlign w:val="center"/>
            <w:hideMark/>
          </w:tcPr>
          <w:p w:rsidR="00A96F06" w:rsidRPr="00A96F06" w:rsidRDefault="00A96F06" w:rsidP="00A96F06">
            <w:pPr>
              <w:spacing w:before="0" w:after="0" w:line="240" w:lineRule="auto"/>
              <w:rPr>
                <w:rFonts w:ascii="Times New Roman" w:eastAsia="Times New Roman" w:hAnsi="Times New Roman" w:cs="Times New Roman"/>
                <w:color w:val="000000"/>
                <w:sz w:val="22"/>
                <w:szCs w:val="22"/>
                <w:lang w:val="af-ZA" w:bidi="ar-SA"/>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rsidR="00A96F06" w:rsidRPr="00A96F06" w:rsidRDefault="00A96F06" w:rsidP="00A96F06">
            <w:pPr>
              <w:spacing w:before="0" w:after="0" w:line="240" w:lineRule="auto"/>
              <w:rPr>
                <w:rFonts w:ascii="Times New Roman" w:eastAsia="Times New Roman" w:hAnsi="Times New Roman" w:cs="Times New Roman"/>
                <w:color w:val="000000"/>
                <w:sz w:val="22"/>
                <w:szCs w:val="22"/>
                <w:lang w:val="af-ZA" w:bidi="ar-SA"/>
              </w:rPr>
            </w:pPr>
          </w:p>
        </w:tc>
        <w:tc>
          <w:tcPr>
            <w:tcW w:w="572" w:type="dxa"/>
            <w:tcBorders>
              <w:top w:val="nil"/>
              <w:left w:val="nil"/>
              <w:bottom w:val="single" w:sz="4" w:space="0" w:color="auto"/>
              <w:right w:val="single" w:sz="4" w:space="0" w:color="auto"/>
            </w:tcBorders>
            <w:shd w:val="clear" w:color="000000" w:fill="92D050"/>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août-22</w:t>
            </w:r>
          </w:p>
        </w:tc>
        <w:tc>
          <w:tcPr>
            <w:tcW w:w="571" w:type="dxa"/>
            <w:tcBorders>
              <w:top w:val="nil"/>
              <w:left w:val="nil"/>
              <w:bottom w:val="single" w:sz="4" w:space="0" w:color="auto"/>
              <w:right w:val="single" w:sz="4" w:space="0" w:color="auto"/>
            </w:tcBorders>
            <w:shd w:val="clear" w:color="000000" w:fill="92D050"/>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sept-22</w:t>
            </w:r>
          </w:p>
        </w:tc>
        <w:tc>
          <w:tcPr>
            <w:tcW w:w="571" w:type="dxa"/>
            <w:tcBorders>
              <w:top w:val="nil"/>
              <w:left w:val="nil"/>
              <w:bottom w:val="single" w:sz="4" w:space="0" w:color="auto"/>
              <w:right w:val="single" w:sz="4" w:space="0" w:color="auto"/>
            </w:tcBorders>
            <w:shd w:val="clear" w:color="000000" w:fill="92D050"/>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oct-22</w:t>
            </w:r>
          </w:p>
        </w:tc>
        <w:tc>
          <w:tcPr>
            <w:tcW w:w="571" w:type="dxa"/>
            <w:tcBorders>
              <w:top w:val="nil"/>
              <w:left w:val="nil"/>
              <w:bottom w:val="single" w:sz="4" w:space="0" w:color="auto"/>
              <w:right w:val="single" w:sz="4" w:space="0" w:color="auto"/>
            </w:tcBorders>
            <w:shd w:val="clear" w:color="000000" w:fill="92D050"/>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nov-22</w:t>
            </w:r>
          </w:p>
        </w:tc>
        <w:tc>
          <w:tcPr>
            <w:tcW w:w="571" w:type="dxa"/>
            <w:tcBorders>
              <w:top w:val="nil"/>
              <w:left w:val="nil"/>
              <w:bottom w:val="single" w:sz="4" w:space="0" w:color="auto"/>
              <w:right w:val="single" w:sz="4" w:space="0" w:color="auto"/>
            </w:tcBorders>
            <w:shd w:val="clear" w:color="000000" w:fill="92D050"/>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déc-22</w:t>
            </w:r>
          </w:p>
        </w:tc>
        <w:tc>
          <w:tcPr>
            <w:tcW w:w="571" w:type="dxa"/>
            <w:tcBorders>
              <w:top w:val="nil"/>
              <w:left w:val="nil"/>
              <w:bottom w:val="single" w:sz="4" w:space="0" w:color="auto"/>
              <w:right w:val="single" w:sz="4" w:space="0" w:color="auto"/>
            </w:tcBorders>
            <w:shd w:val="clear" w:color="000000" w:fill="92D050"/>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janv-23</w:t>
            </w:r>
          </w:p>
        </w:tc>
        <w:tc>
          <w:tcPr>
            <w:tcW w:w="523" w:type="dxa"/>
            <w:tcBorders>
              <w:top w:val="nil"/>
              <w:left w:val="nil"/>
              <w:bottom w:val="single" w:sz="4" w:space="0" w:color="auto"/>
              <w:right w:val="single" w:sz="4" w:space="0" w:color="auto"/>
            </w:tcBorders>
            <w:shd w:val="clear" w:color="000000" w:fill="92D050"/>
            <w:noWrap/>
            <w:vAlign w:val="bottom"/>
            <w:hideMark/>
          </w:tcPr>
          <w:p w:rsidR="00A96F06" w:rsidRPr="00A96F06" w:rsidRDefault="00A96F06" w:rsidP="00A96F06">
            <w:pPr>
              <w:spacing w:before="0" w:after="0" w:line="240" w:lineRule="auto"/>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 Mois</w:t>
            </w:r>
          </w:p>
        </w:tc>
        <w:tc>
          <w:tcPr>
            <w:tcW w:w="499" w:type="dxa"/>
            <w:tcBorders>
              <w:top w:val="nil"/>
              <w:left w:val="nil"/>
              <w:bottom w:val="single" w:sz="4" w:space="0" w:color="auto"/>
              <w:right w:val="single" w:sz="4" w:space="0" w:color="auto"/>
            </w:tcBorders>
            <w:shd w:val="clear" w:color="000000" w:fill="92D050"/>
            <w:noWrap/>
            <w:vAlign w:val="bottom"/>
            <w:hideMark/>
          </w:tcPr>
          <w:p w:rsidR="00A96F06" w:rsidRPr="00A96F06" w:rsidRDefault="00A96F06" w:rsidP="00A96F06">
            <w:pPr>
              <w:spacing w:before="0" w:after="0" w:line="240" w:lineRule="auto"/>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 Trim</w:t>
            </w:r>
          </w:p>
        </w:tc>
        <w:tc>
          <w:tcPr>
            <w:tcW w:w="633" w:type="dxa"/>
            <w:tcBorders>
              <w:top w:val="nil"/>
              <w:left w:val="nil"/>
              <w:bottom w:val="single" w:sz="4" w:space="0" w:color="auto"/>
              <w:right w:val="single" w:sz="4" w:space="0" w:color="auto"/>
            </w:tcBorders>
            <w:shd w:val="clear" w:color="000000" w:fill="92D050"/>
            <w:noWrap/>
            <w:vAlign w:val="bottom"/>
            <w:hideMark/>
          </w:tcPr>
          <w:p w:rsidR="00A96F06" w:rsidRPr="00A96F06" w:rsidRDefault="00A96F06" w:rsidP="00A96F06">
            <w:pPr>
              <w:spacing w:before="0" w:after="0" w:line="240" w:lineRule="auto"/>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  Année</w:t>
            </w:r>
          </w:p>
        </w:tc>
      </w:tr>
      <w:tr w:rsidR="00A96F06" w:rsidRPr="00A96F06" w:rsidTr="00A96F06">
        <w:trPr>
          <w:trHeight w:val="282"/>
        </w:trPr>
        <w:tc>
          <w:tcPr>
            <w:tcW w:w="2647" w:type="dxa"/>
            <w:tcBorders>
              <w:top w:val="nil"/>
              <w:left w:val="single" w:sz="4" w:space="0" w:color="auto"/>
              <w:bottom w:val="single" w:sz="4" w:space="0" w:color="auto"/>
              <w:right w:val="single" w:sz="4" w:space="0" w:color="auto"/>
            </w:tcBorders>
            <w:shd w:val="clear" w:color="auto" w:fill="auto"/>
            <w:noWrap/>
            <w:vAlign w:val="center"/>
            <w:hideMark/>
          </w:tcPr>
          <w:p w:rsidR="00A96F06" w:rsidRPr="00A96F06" w:rsidRDefault="00A96F06" w:rsidP="00A96F06">
            <w:pPr>
              <w:spacing w:before="0" w:after="0" w:line="240" w:lineRule="auto"/>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Céréales</w:t>
            </w:r>
          </w:p>
        </w:tc>
        <w:tc>
          <w:tcPr>
            <w:tcW w:w="1056"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42,0</w:t>
            </w:r>
          </w:p>
        </w:tc>
        <w:tc>
          <w:tcPr>
            <w:tcW w:w="572"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188,4</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207,0</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243,7</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266,2</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273,2</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268,5</w:t>
            </w:r>
          </w:p>
        </w:tc>
        <w:tc>
          <w:tcPr>
            <w:tcW w:w="52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-1,7</w:t>
            </w:r>
          </w:p>
        </w:tc>
        <w:tc>
          <w:tcPr>
            <w:tcW w:w="499"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26,4</w:t>
            </w:r>
          </w:p>
        </w:tc>
        <w:tc>
          <w:tcPr>
            <w:tcW w:w="63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71,4</w:t>
            </w:r>
          </w:p>
        </w:tc>
      </w:tr>
      <w:tr w:rsidR="00A96F06" w:rsidRPr="00A96F06" w:rsidTr="00A96F06">
        <w:trPr>
          <w:trHeight w:val="282"/>
        </w:trPr>
        <w:tc>
          <w:tcPr>
            <w:tcW w:w="2647" w:type="dxa"/>
            <w:tcBorders>
              <w:top w:val="nil"/>
              <w:left w:val="single" w:sz="4" w:space="0" w:color="auto"/>
              <w:bottom w:val="single" w:sz="4" w:space="0" w:color="auto"/>
              <w:right w:val="single" w:sz="4" w:space="0" w:color="auto"/>
            </w:tcBorders>
            <w:shd w:val="clear" w:color="auto" w:fill="auto"/>
            <w:noWrap/>
            <w:vAlign w:val="center"/>
            <w:hideMark/>
          </w:tcPr>
          <w:p w:rsidR="00A96F06" w:rsidRPr="00A96F06" w:rsidRDefault="00A96F06" w:rsidP="00A96F06">
            <w:pPr>
              <w:spacing w:before="0" w:after="0" w:line="240" w:lineRule="auto"/>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Tubércules et racines</w:t>
            </w:r>
          </w:p>
        </w:tc>
        <w:tc>
          <w:tcPr>
            <w:tcW w:w="1056"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416,0</w:t>
            </w:r>
          </w:p>
        </w:tc>
        <w:tc>
          <w:tcPr>
            <w:tcW w:w="572"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111,2</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109,7</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120,9</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119,9</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130,5</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132,0</w:t>
            </w:r>
          </w:p>
        </w:tc>
        <w:tc>
          <w:tcPr>
            <w:tcW w:w="52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1,2</w:t>
            </w:r>
          </w:p>
        </w:tc>
        <w:tc>
          <w:tcPr>
            <w:tcW w:w="499"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11,9</w:t>
            </w:r>
          </w:p>
        </w:tc>
        <w:tc>
          <w:tcPr>
            <w:tcW w:w="63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21,9</w:t>
            </w:r>
          </w:p>
        </w:tc>
      </w:tr>
      <w:tr w:rsidR="00A96F06" w:rsidRPr="00A96F06" w:rsidTr="00A96F06">
        <w:trPr>
          <w:trHeight w:val="282"/>
        </w:trPr>
        <w:tc>
          <w:tcPr>
            <w:tcW w:w="2647" w:type="dxa"/>
            <w:tcBorders>
              <w:top w:val="nil"/>
              <w:left w:val="single" w:sz="4" w:space="0" w:color="auto"/>
              <w:bottom w:val="single" w:sz="4" w:space="0" w:color="auto"/>
              <w:right w:val="single" w:sz="4" w:space="0" w:color="auto"/>
            </w:tcBorders>
            <w:shd w:val="clear" w:color="auto" w:fill="auto"/>
            <w:noWrap/>
            <w:vAlign w:val="center"/>
            <w:hideMark/>
          </w:tcPr>
          <w:p w:rsidR="00A96F06" w:rsidRPr="00A96F06" w:rsidRDefault="00A96F06" w:rsidP="00A96F06">
            <w:pPr>
              <w:spacing w:before="0" w:after="0" w:line="240" w:lineRule="auto"/>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Légumineuses</w:t>
            </w:r>
          </w:p>
        </w:tc>
        <w:tc>
          <w:tcPr>
            <w:tcW w:w="1056"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91,0</w:t>
            </w:r>
          </w:p>
        </w:tc>
        <w:tc>
          <w:tcPr>
            <w:tcW w:w="572"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143,2</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155,6</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179,6</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196,7</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210,4</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234,0</w:t>
            </w:r>
          </w:p>
        </w:tc>
        <w:tc>
          <w:tcPr>
            <w:tcW w:w="52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11,2</w:t>
            </w:r>
          </w:p>
        </w:tc>
        <w:tc>
          <w:tcPr>
            <w:tcW w:w="499"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34,0</w:t>
            </w:r>
          </w:p>
        </w:tc>
        <w:tc>
          <w:tcPr>
            <w:tcW w:w="63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77,6</w:t>
            </w:r>
          </w:p>
        </w:tc>
      </w:tr>
      <w:tr w:rsidR="00A96F06" w:rsidRPr="00A96F06" w:rsidTr="00A96F06">
        <w:trPr>
          <w:trHeight w:val="282"/>
        </w:trPr>
        <w:tc>
          <w:tcPr>
            <w:tcW w:w="2647" w:type="dxa"/>
            <w:tcBorders>
              <w:top w:val="nil"/>
              <w:left w:val="single" w:sz="4" w:space="0" w:color="auto"/>
              <w:bottom w:val="single" w:sz="4" w:space="0" w:color="auto"/>
              <w:right w:val="single" w:sz="4" w:space="0" w:color="auto"/>
            </w:tcBorders>
            <w:shd w:val="clear" w:color="auto" w:fill="auto"/>
            <w:noWrap/>
            <w:vAlign w:val="center"/>
            <w:hideMark/>
          </w:tcPr>
          <w:p w:rsidR="00A96F06" w:rsidRPr="00A96F06" w:rsidRDefault="00A96F06" w:rsidP="00A96F06">
            <w:pPr>
              <w:spacing w:before="0" w:after="0" w:line="240" w:lineRule="auto"/>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Produits des plantes oléagineuses</w:t>
            </w:r>
          </w:p>
        </w:tc>
        <w:tc>
          <w:tcPr>
            <w:tcW w:w="1056"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6,0</w:t>
            </w:r>
          </w:p>
        </w:tc>
        <w:tc>
          <w:tcPr>
            <w:tcW w:w="572"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206,5</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212,5</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225,0</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244,2</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231,4</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267,0</w:t>
            </w:r>
          </w:p>
        </w:tc>
        <w:tc>
          <w:tcPr>
            <w:tcW w:w="52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15,4</w:t>
            </w:r>
          </w:p>
        </w:tc>
        <w:tc>
          <w:tcPr>
            <w:tcW w:w="499"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15,3</w:t>
            </w:r>
          </w:p>
        </w:tc>
        <w:tc>
          <w:tcPr>
            <w:tcW w:w="63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51,4</w:t>
            </w:r>
          </w:p>
        </w:tc>
      </w:tr>
      <w:tr w:rsidR="00A96F06" w:rsidRPr="00A96F06" w:rsidTr="00A96F06">
        <w:trPr>
          <w:trHeight w:val="282"/>
        </w:trPr>
        <w:tc>
          <w:tcPr>
            <w:tcW w:w="2647" w:type="dxa"/>
            <w:tcBorders>
              <w:top w:val="nil"/>
              <w:left w:val="single" w:sz="4" w:space="0" w:color="auto"/>
              <w:bottom w:val="single" w:sz="4" w:space="0" w:color="auto"/>
              <w:right w:val="single" w:sz="4" w:space="0" w:color="auto"/>
            </w:tcBorders>
            <w:shd w:val="clear" w:color="auto" w:fill="auto"/>
            <w:noWrap/>
            <w:vAlign w:val="center"/>
            <w:hideMark/>
          </w:tcPr>
          <w:p w:rsidR="00A96F06" w:rsidRPr="00A96F06" w:rsidRDefault="00A96F06" w:rsidP="00A96F06">
            <w:pPr>
              <w:spacing w:before="0" w:after="0" w:line="240" w:lineRule="auto"/>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Cultures industrielles/exportations</w:t>
            </w:r>
          </w:p>
        </w:tc>
        <w:tc>
          <w:tcPr>
            <w:tcW w:w="1056"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51,0</w:t>
            </w:r>
          </w:p>
        </w:tc>
        <w:tc>
          <w:tcPr>
            <w:tcW w:w="572"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174,6</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174,6</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174,6</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174,6</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174,6</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174,6</w:t>
            </w:r>
          </w:p>
        </w:tc>
        <w:tc>
          <w:tcPr>
            <w:tcW w:w="52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0,0</w:t>
            </w:r>
          </w:p>
        </w:tc>
        <w:tc>
          <w:tcPr>
            <w:tcW w:w="499"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0,0</w:t>
            </w:r>
          </w:p>
        </w:tc>
        <w:tc>
          <w:tcPr>
            <w:tcW w:w="63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11,6</w:t>
            </w:r>
          </w:p>
        </w:tc>
      </w:tr>
      <w:tr w:rsidR="00A96F06" w:rsidRPr="00A96F06" w:rsidTr="00A96F06">
        <w:trPr>
          <w:trHeight w:val="282"/>
        </w:trPr>
        <w:tc>
          <w:tcPr>
            <w:tcW w:w="2647" w:type="dxa"/>
            <w:tcBorders>
              <w:top w:val="nil"/>
              <w:left w:val="single" w:sz="4" w:space="0" w:color="auto"/>
              <w:bottom w:val="single" w:sz="4" w:space="0" w:color="auto"/>
              <w:right w:val="single" w:sz="4" w:space="0" w:color="auto"/>
            </w:tcBorders>
            <w:shd w:val="clear" w:color="auto" w:fill="auto"/>
            <w:noWrap/>
            <w:vAlign w:val="center"/>
            <w:hideMark/>
          </w:tcPr>
          <w:p w:rsidR="00A96F06" w:rsidRPr="00A96F06" w:rsidRDefault="00A96F06" w:rsidP="00A96F06">
            <w:pPr>
              <w:spacing w:before="0" w:after="0" w:line="240" w:lineRule="auto"/>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Légumes frais</w:t>
            </w:r>
          </w:p>
        </w:tc>
        <w:tc>
          <w:tcPr>
            <w:tcW w:w="1056"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128,0</w:t>
            </w:r>
          </w:p>
        </w:tc>
        <w:tc>
          <w:tcPr>
            <w:tcW w:w="572"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144,9</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144,6</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158,5</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135,8</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139,8</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134,4</w:t>
            </w:r>
          </w:p>
        </w:tc>
        <w:tc>
          <w:tcPr>
            <w:tcW w:w="52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-3,9</w:t>
            </w:r>
          </w:p>
        </w:tc>
        <w:tc>
          <w:tcPr>
            <w:tcW w:w="499"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-8,5</w:t>
            </w:r>
          </w:p>
        </w:tc>
        <w:tc>
          <w:tcPr>
            <w:tcW w:w="63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-6,8</w:t>
            </w:r>
          </w:p>
        </w:tc>
      </w:tr>
      <w:tr w:rsidR="00A96F06" w:rsidRPr="00A96F06" w:rsidTr="00A96F06">
        <w:trPr>
          <w:trHeight w:val="282"/>
        </w:trPr>
        <w:tc>
          <w:tcPr>
            <w:tcW w:w="2647" w:type="dxa"/>
            <w:tcBorders>
              <w:top w:val="nil"/>
              <w:left w:val="single" w:sz="4" w:space="0" w:color="auto"/>
              <w:bottom w:val="single" w:sz="4" w:space="0" w:color="auto"/>
              <w:right w:val="single" w:sz="4" w:space="0" w:color="auto"/>
            </w:tcBorders>
            <w:shd w:val="clear" w:color="auto" w:fill="auto"/>
            <w:noWrap/>
            <w:vAlign w:val="center"/>
            <w:hideMark/>
          </w:tcPr>
          <w:p w:rsidR="00A96F06" w:rsidRPr="00A96F06" w:rsidRDefault="00A96F06" w:rsidP="00A96F06">
            <w:pPr>
              <w:spacing w:before="0" w:after="0" w:line="240" w:lineRule="auto"/>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Banane</w:t>
            </w:r>
          </w:p>
        </w:tc>
        <w:tc>
          <w:tcPr>
            <w:tcW w:w="1056"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138,0</w:t>
            </w:r>
          </w:p>
        </w:tc>
        <w:tc>
          <w:tcPr>
            <w:tcW w:w="572"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130,2</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124,8</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125,5</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128,3</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138,0</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143,0</w:t>
            </w:r>
          </w:p>
        </w:tc>
        <w:tc>
          <w:tcPr>
            <w:tcW w:w="52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3,6</w:t>
            </w:r>
          </w:p>
        </w:tc>
        <w:tc>
          <w:tcPr>
            <w:tcW w:w="499"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7,6</w:t>
            </w:r>
          </w:p>
        </w:tc>
        <w:tc>
          <w:tcPr>
            <w:tcW w:w="63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19,6</w:t>
            </w:r>
          </w:p>
        </w:tc>
      </w:tr>
      <w:tr w:rsidR="00A96F06" w:rsidRPr="00A96F06" w:rsidTr="00A96F06">
        <w:trPr>
          <w:trHeight w:val="282"/>
        </w:trPr>
        <w:tc>
          <w:tcPr>
            <w:tcW w:w="2647" w:type="dxa"/>
            <w:tcBorders>
              <w:top w:val="nil"/>
              <w:left w:val="single" w:sz="4" w:space="0" w:color="auto"/>
              <w:bottom w:val="single" w:sz="4" w:space="0" w:color="auto"/>
              <w:right w:val="single" w:sz="4" w:space="0" w:color="auto"/>
            </w:tcBorders>
            <w:shd w:val="clear" w:color="auto" w:fill="auto"/>
            <w:noWrap/>
            <w:vAlign w:val="center"/>
            <w:hideMark/>
          </w:tcPr>
          <w:p w:rsidR="00A96F06" w:rsidRPr="00A96F06" w:rsidRDefault="00A96F06" w:rsidP="00A96F06">
            <w:pPr>
              <w:spacing w:before="0" w:after="0" w:line="240" w:lineRule="auto"/>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Fruits frais</w:t>
            </w:r>
          </w:p>
        </w:tc>
        <w:tc>
          <w:tcPr>
            <w:tcW w:w="1056"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17,0</w:t>
            </w:r>
          </w:p>
        </w:tc>
        <w:tc>
          <w:tcPr>
            <w:tcW w:w="572"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154,5</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159,1</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165,8</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189,3</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199,3</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179,1</w:t>
            </w:r>
          </w:p>
        </w:tc>
        <w:tc>
          <w:tcPr>
            <w:tcW w:w="52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-10,2</w:t>
            </w:r>
          </w:p>
        </w:tc>
        <w:tc>
          <w:tcPr>
            <w:tcW w:w="499"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18,4</w:t>
            </w:r>
          </w:p>
        </w:tc>
        <w:tc>
          <w:tcPr>
            <w:tcW w:w="63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18,8</w:t>
            </w:r>
          </w:p>
        </w:tc>
      </w:tr>
      <w:tr w:rsidR="00A96F06" w:rsidRPr="00A96F06" w:rsidTr="00A96F06">
        <w:trPr>
          <w:trHeight w:val="282"/>
        </w:trPr>
        <w:tc>
          <w:tcPr>
            <w:tcW w:w="2647" w:type="dxa"/>
            <w:tcBorders>
              <w:top w:val="nil"/>
              <w:left w:val="single" w:sz="4" w:space="0" w:color="auto"/>
              <w:bottom w:val="single" w:sz="4" w:space="0" w:color="auto"/>
              <w:right w:val="single" w:sz="4" w:space="0" w:color="auto"/>
            </w:tcBorders>
            <w:shd w:val="clear" w:color="auto" w:fill="auto"/>
            <w:noWrap/>
            <w:vAlign w:val="center"/>
            <w:hideMark/>
          </w:tcPr>
          <w:p w:rsidR="00A96F06" w:rsidRPr="00A96F06" w:rsidRDefault="00A96F06" w:rsidP="00A96F06">
            <w:pPr>
              <w:spacing w:before="0" w:after="0" w:line="240" w:lineRule="auto"/>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Bovins</w:t>
            </w:r>
          </w:p>
        </w:tc>
        <w:tc>
          <w:tcPr>
            <w:tcW w:w="1056"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30,0</w:t>
            </w:r>
          </w:p>
        </w:tc>
        <w:tc>
          <w:tcPr>
            <w:tcW w:w="572"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171,2</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169,7</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164,4</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166,7</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175,7</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168,6</w:t>
            </w:r>
          </w:p>
        </w:tc>
        <w:tc>
          <w:tcPr>
            <w:tcW w:w="52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-4,1</w:t>
            </w:r>
          </w:p>
        </w:tc>
        <w:tc>
          <w:tcPr>
            <w:tcW w:w="499"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1,1</w:t>
            </w:r>
          </w:p>
        </w:tc>
        <w:tc>
          <w:tcPr>
            <w:tcW w:w="63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16,6</w:t>
            </w:r>
          </w:p>
        </w:tc>
      </w:tr>
      <w:tr w:rsidR="00A96F06" w:rsidRPr="00A96F06" w:rsidTr="00A96F06">
        <w:trPr>
          <w:trHeight w:val="282"/>
        </w:trPr>
        <w:tc>
          <w:tcPr>
            <w:tcW w:w="2647" w:type="dxa"/>
            <w:tcBorders>
              <w:top w:val="nil"/>
              <w:left w:val="single" w:sz="4" w:space="0" w:color="auto"/>
              <w:bottom w:val="single" w:sz="4" w:space="0" w:color="auto"/>
              <w:right w:val="single" w:sz="4" w:space="0" w:color="auto"/>
            </w:tcBorders>
            <w:shd w:val="clear" w:color="auto" w:fill="auto"/>
            <w:noWrap/>
            <w:vAlign w:val="center"/>
            <w:hideMark/>
          </w:tcPr>
          <w:p w:rsidR="00A96F06" w:rsidRPr="00A96F06" w:rsidRDefault="00A96F06" w:rsidP="00A96F06">
            <w:pPr>
              <w:spacing w:before="0" w:after="0" w:line="240" w:lineRule="auto"/>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Ovins caprins</w:t>
            </w:r>
          </w:p>
        </w:tc>
        <w:tc>
          <w:tcPr>
            <w:tcW w:w="1056"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18,0</w:t>
            </w:r>
          </w:p>
        </w:tc>
        <w:tc>
          <w:tcPr>
            <w:tcW w:w="572"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157,7</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155,3</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155,6</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156,8</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162,5</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160,6</w:t>
            </w:r>
          </w:p>
        </w:tc>
        <w:tc>
          <w:tcPr>
            <w:tcW w:w="52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-1,1</w:t>
            </w:r>
          </w:p>
        </w:tc>
        <w:tc>
          <w:tcPr>
            <w:tcW w:w="499"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2,4</w:t>
            </w:r>
          </w:p>
        </w:tc>
        <w:tc>
          <w:tcPr>
            <w:tcW w:w="63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6,5</w:t>
            </w:r>
          </w:p>
        </w:tc>
      </w:tr>
      <w:tr w:rsidR="00A96F06" w:rsidRPr="00A96F06" w:rsidTr="00A96F06">
        <w:trPr>
          <w:trHeight w:val="282"/>
        </w:trPr>
        <w:tc>
          <w:tcPr>
            <w:tcW w:w="2647" w:type="dxa"/>
            <w:tcBorders>
              <w:top w:val="nil"/>
              <w:left w:val="single" w:sz="4" w:space="0" w:color="auto"/>
              <w:bottom w:val="single" w:sz="4" w:space="0" w:color="auto"/>
              <w:right w:val="single" w:sz="4" w:space="0" w:color="auto"/>
            </w:tcBorders>
            <w:shd w:val="clear" w:color="auto" w:fill="auto"/>
            <w:noWrap/>
            <w:vAlign w:val="center"/>
            <w:hideMark/>
          </w:tcPr>
          <w:p w:rsidR="00A96F06" w:rsidRPr="00A96F06" w:rsidRDefault="00A96F06" w:rsidP="00A96F06">
            <w:pPr>
              <w:spacing w:before="0" w:after="0" w:line="240" w:lineRule="auto"/>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Porcins</w:t>
            </w:r>
          </w:p>
        </w:tc>
        <w:tc>
          <w:tcPr>
            <w:tcW w:w="1056"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9,0</w:t>
            </w:r>
          </w:p>
        </w:tc>
        <w:tc>
          <w:tcPr>
            <w:tcW w:w="572"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160,6</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159,6</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160,2</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164,5</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177,7</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169,3</w:t>
            </w:r>
          </w:p>
        </w:tc>
        <w:tc>
          <w:tcPr>
            <w:tcW w:w="52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-4,8</w:t>
            </w:r>
          </w:p>
        </w:tc>
        <w:tc>
          <w:tcPr>
            <w:tcW w:w="499"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6,5</w:t>
            </w:r>
          </w:p>
        </w:tc>
        <w:tc>
          <w:tcPr>
            <w:tcW w:w="63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32,8</w:t>
            </w:r>
          </w:p>
        </w:tc>
      </w:tr>
      <w:tr w:rsidR="00A96F06" w:rsidRPr="00A96F06" w:rsidTr="00A96F06">
        <w:trPr>
          <w:trHeight w:val="282"/>
        </w:trPr>
        <w:tc>
          <w:tcPr>
            <w:tcW w:w="2647" w:type="dxa"/>
            <w:tcBorders>
              <w:top w:val="nil"/>
              <w:left w:val="single" w:sz="4" w:space="0" w:color="auto"/>
              <w:bottom w:val="single" w:sz="4" w:space="0" w:color="auto"/>
              <w:right w:val="single" w:sz="4" w:space="0" w:color="auto"/>
            </w:tcBorders>
            <w:shd w:val="clear" w:color="auto" w:fill="auto"/>
            <w:noWrap/>
            <w:vAlign w:val="center"/>
            <w:hideMark/>
          </w:tcPr>
          <w:p w:rsidR="00A96F06" w:rsidRPr="00A96F06" w:rsidRDefault="00A96F06" w:rsidP="00A96F06">
            <w:pPr>
              <w:spacing w:before="0" w:after="0" w:line="240" w:lineRule="auto"/>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Autres produits élevages et volailles</w:t>
            </w:r>
          </w:p>
        </w:tc>
        <w:tc>
          <w:tcPr>
            <w:tcW w:w="1056"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4,0</w:t>
            </w:r>
          </w:p>
        </w:tc>
        <w:tc>
          <w:tcPr>
            <w:tcW w:w="572"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166,5</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167,6</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172,1</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171,3</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174,9</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174,5</w:t>
            </w:r>
          </w:p>
        </w:tc>
        <w:tc>
          <w:tcPr>
            <w:tcW w:w="52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-0,2</w:t>
            </w:r>
          </w:p>
        </w:tc>
        <w:tc>
          <w:tcPr>
            <w:tcW w:w="499"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2,9</w:t>
            </w:r>
          </w:p>
        </w:tc>
        <w:tc>
          <w:tcPr>
            <w:tcW w:w="63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26,2</w:t>
            </w:r>
          </w:p>
        </w:tc>
      </w:tr>
      <w:tr w:rsidR="00A96F06" w:rsidRPr="00A96F06" w:rsidTr="00A96F06">
        <w:trPr>
          <w:trHeight w:val="282"/>
        </w:trPr>
        <w:tc>
          <w:tcPr>
            <w:tcW w:w="2647" w:type="dxa"/>
            <w:tcBorders>
              <w:top w:val="nil"/>
              <w:left w:val="single" w:sz="4" w:space="0" w:color="auto"/>
              <w:bottom w:val="single" w:sz="4" w:space="0" w:color="auto"/>
              <w:right w:val="single" w:sz="4" w:space="0" w:color="auto"/>
            </w:tcBorders>
            <w:shd w:val="clear" w:color="auto" w:fill="auto"/>
            <w:noWrap/>
            <w:vAlign w:val="center"/>
            <w:hideMark/>
          </w:tcPr>
          <w:p w:rsidR="00A96F06" w:rsidRPr="00A96F06" w:rsidRDefault="00A96F06" w:rsidP="00A96F06">
            <w:pPr>
              <w:spacing w:before="0" w:after="0" w:line="240" w:lineRule="auto"/>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Sous produits de l'élevage</w:t>
            </w:r>
          </w:p>
        </w:tc>
        <w:tc>
          <w:tcPr>
            <w:tcW w:w="1056"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13,0</w:t>
            </w:r>
          </w:p>
        </w:tc>
        <w:tc>
          <w:tcPr>
            <w:tcW w:w="572"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138,2</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138,4</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139,7</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139,1</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141,9</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142,7</w:t>
            </w:r>
          </w:p>
        </w:tc>
        <w:tc>
          <w:tcPr>
            <w:tcW w:w="52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0,6</w:t>
            </w:r>
          </w:p>
        </w:tc>
        <w:tc>
          <w:tcPr>
            <w:tcW w:w="499"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1,8</w:t>
            </w:r>
          </w:p>
        </w:tc>
        <w:tc>
          <w:tcPr>
            <w:tcW w:w="63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10,2</w:t>
            </w:r>
          </w:p>
        </w:tc>
      </w:tr>
      <w:tr w:rsidR="00A96F06" w:rsidRPr="00A96F06" w:rsidTr="00A96F06">
        <w:trPr>
          <w:trHeight w:val="282"/>
        </w:trPr>
        <w:tc>
          <w:tcPr>
            <w:tcW w:w="2647" w:type="dxa"/>
            <w:tcBorders>
              <w:top w:val="nil"/>
              <w:left w:val="single" w:sz="4" w:space="0" w:color="auto"/>
              <w:bottom w:val="single" w:sz="4" w:space="0" w:color="auto"/>
              <w:right w:val="single" w:sz="4" w:space="0" w:color="auto"/>
            </w:tcBorders>
            <w:shd w:val="clear" w:color="auto" w:fill="auto"/>
            <w:noWrap/>
            <w:vAlign w:val="center"/>
            <w:hideMark/>
          </w:tcPr>
          <w:p w:rsidR="00A96F06" w:rsidRPr="00A96F06" w:rsidRDefault="00A96F06" w:rsidP="00A96F06">
            <w:pPr>
              <w:spacing w:before="0" w:after="0" w:line="240" w:lineRule="auto"/>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Produits de la sylviculture et de l’exploitation forestière</w:t>
            </w:r>
          </w:p>
        </w:tc>
        <w:tc>
          <w:tcPr>
            <w:tcW w:w="1056"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17,0</w:t>
            </w:r>
          </w:p>
        </w:tc>
        <w:tc>
          <w:tcPr>
            <w:tcW w:w="572"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84,3</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84,7</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85,3</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88,1</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88,6</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82,3</w:t>
            </w:r>
          </w:p>
        </w:tc>
        <w:tc>
          <w:tcPr>
            <w:tcW w:w="52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-7,1</w:t>
            </w:r>
          </w:p>
        </w:tc>
        <w:tc>
          <w:tcPr>
            <w:tcW w:w="499"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1,8</w:t>
            </w:r>
          </w:p>
        </w:tc>
        <w:tc>
          <w:tcPr>
            <w:tcW w:w="63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-5,9</w:t>
            </w:r>
          </w:p>
        </w:tc>
      </w:tr>
      <w:tr w:rsidR="00A96F06" w:rsidRPr="00A96F06" w:rsidTr="00A96F06">
        <w:trPr>
          <w:trHeight w:val="282"/>
        </w:trPr>
        <w:tc>
          <w:tcPr>
            <w:tcW w:w="2647" w:type="dxa"/>
            <w:tcBorders>
              <w:top w:val="nil"/>
              <w:left w:val="single" w:sz="4" w:space="0" w:color="auto"/>
              <w:bottom w:val="single" w:sz="4" w:space="0" w:color="auto"/>
              <w:right w:val="single" w:sz="4" w:space="0" w:color="auto"/>
            </w:tcBorders>
            <w:shd w:val="clear" w:color="auto" w:fill="auto"/>
            <w:noWrap/>
            <w:vAlign w:val="center"/>
            <w:hideMark/>
          </w:tcPr>
          <w:p w:rsidR="00A96F06" w:rsidRPr="00A96F06" w:rsidRDefault="00A96F06" w:rsidP="00A96F06">
            <w:pPr>
              <w:spacing w:before="0" w:after="0" w:line="240" w:lineRule="auto"/>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Produits de la pêche (coutumière et artisanale)</w:t>
            </w:r>
          </w:p>
        </w:tc>
        <w:tc>
          <w:tcPr>
            <w:tcW w:w="1056"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20,0</w:t>
            </w:r>
          </w:p>
        </w:tc>
        <w:tc>
          <w:tcPr>
            <w:tcW w:w="572"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237,9</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304,8</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213,7</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204,7</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203,9</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206,5</w:t>
            </w:r>
          </w:p>
        </w:tc>
        <w:tc>
          <w:tcPr>
            <w:tcW w:w="52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1,3</w:t>
            </w:r>
          </w:p>
        </w:tc>
        <w:tc>
          <w:tcPr>
            <w:tcW w:w="499"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-18,7</w:t>
            </w:r>
          </w:p>
        </w:tc>
        <w:tc>
          <w:tcPr>
            <w:tcW w:w="63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color w:val="000000"/>
                <w:sz w:val="22"/>
                <w:szCs w:val="22"/>
                <w:lang w:val="af-ZA" w:bidi="ar-SA"/>
              </w:rPr>
            </w:pPr>
            <w:r w:rsidRPr="00A96F06">
              <w:rPr>
                <w:rFonts w:ascii="Times New Roman" w:eastAsia="Times New Roman" w:hAnsi="Times New Roman" w:cs="Times New Roman"/>
                <w:color w:val="000000"/>
                <w:sz w:val="22"/>
                <w:szCs w:val="22"/>
                <w:lang w:val="af-ZA" w:bidi="ar-SA"/>
              </w:rPr>
              <w:t>159,0</w:t>
            </w:r>
          </w:p>
        </w:tc>
      </w:tr>
      <w:tr w:rsidR="00A96F06" w:rsidRPr="00A96F06" w:rsidTr="00A96F06">
        <w:trPr>
          <w:trHeight w:val="355"/>
        </w:trPr>
        <w:tc>
          <w:tcPr>
            <w:tcW w:w="2647" w:type="dxa"/>
            <w:tcBorders>
              <w:top w:val="nil"/>
              <w:left w:val="single" w:sz="4" w:space="0" w:color="auto"/>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rPr>
                <w:rFonts w:ascii="Times New Roman" w:eastAsia="Times New Roman" w:hAnsi="Times New Roman" w:cs="Times New Roman"/>
                <w:b/>
                <w:bCs/>
                <w:color w:val="000000"/>
                <w:sz w:val="22"/>
                <w:szCs w:val="22"/>
                <w:lang w:val="af-ZA" w:bidi="ar-SA"/>
              </w:rPr>
            </w:pPr>
            <w:r w:rsidRPr="00A96F06">
              <w:rPr>
                <w:rFonts w:ascii="Times New Roman" w:eastAsia="Times New Roman" w:hAnsi="Times New Roman" w:cs="Times New Roman"/>
                <w:b/>
                <w:bCs/>
                <w:color w:val="000000"/>
                <w:sz w:val="22"/>
                <w:szCs w:val="22"/>
                <w:lang w:val="af-ZA" w:bidi="ar-SA"/>
              </w:rPr>
              <w:t>Ensemble</w:t>
            </w:r>
          </w:p>
        </w:tc>
        <w:tc>
          <w:tcPr>
            <w:tcW w:w="1056"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b/>
                <w:color w:val="000000"/>
                <w:sz w:val="22"/>
                <w:szCs w:val="22"/>
                <w:lang w:val="af-ZA" w:bidi="ar-SA"/>
              </w:rPr>
            </w:pPr>
            <w:r w:rsidRPr="00A96F06">
              <w:rPr>
                <w:rFonts w:ascii="Times New Roman" w:eastAsia="Times New Roman" w:hAnsi="Times New Roman" w:cs="Times New Roman"/>
                <w:b/>
                <w:color w:val="000000"/>
                <w:sz w:val="22"/>
                <w:szCs w:val="22"/>
                <w:lang w:val="af-ZA" w:bidi="ar-SA"/>
              </w:rPr>
              <w:t>1000,0</w:t>
            </w:r>
          </w:p>
        </w:tc>
        <w:tc>
          <w:tcPr>
            <w:tcW w:w="572"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b/>
                <w:color w:val="000000"/>
                <w:sz w:val="22"/>
                <w:szCs w:val="22"/>
                <w:lang w:val="af-ZA" w:bidi="ar-SA"/>
              </w:rPr>
            </w:pPr>
            <w:r w:rsidRPr="00A96F06">
              <w:rPr>
                <w:rFonts w:ascii="Times New Roman" w:eastAsia="Times New Roman" w:hAnsi="Times New Roman" w:cs="Times New Roman"/>
                <w:b/>
                <w:color w:val="000000"/>
                <w:sz w:val="22"/>
                <w:szCs w:val="22"/>
                <w:lang w:val="af-ZA" w:bidi="ar-SA"/>
              </w:rPr>
              <w:t>134,6</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b/>
                <w:color w:val="000000"/>
                <w:sz w:val="22"/>
                <w:szCs w:val="22"/>
                <w:lang w:val="af-ZA" w:bidi="ar-SA"/>
              </w:rPr>
            </w:pPr>
            <w:r w:rsidRPr="00A96F06">
              <w:rPr>
                <w:rFonts w:ascii="Times New Roman" w:eastAsia="Times New Roman" w:hAnsi="Times New Roman" w:cs="Times New Roman"/>
                <w:b/>
                <w:color w:val="000000"/>
                <w:sz w:val="22"/>
                <w:szCs w:val="22"/>
                <w:lang w:val="af-ZA" w:bidi="ar-SA"/>
              </w:rPr>
              <w:t>136,4</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b/>
                <w:color w:val="000000"/>
                <w:sz w:val="22"/>
                <w:szCs w:val="22"/>
                <w:lang w:val="af-ZA" w:bidi="ar-SA"/>
              </w:rPr>
            </w:pPr>
            <w:r w:rsidRPr="00A96F06">
              <w:rPr>
                <w:rFonts w:ascii="Times New Roman" w:eastAsia="Times New Roman" w:hAnsi="Times New Roman" w:cs="Times New Roman"/>
                <w:b/>
                <w:color w:val="000000"/>
                <w:sz w:val="22"/>
                <w:szCs w:val="22"/>
                <w:lang w:val="af-ZA" w:bidi="ar-SA"/>
              </w:rPr>
              <w:t>145,0</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b/>
                <w:color w:val="000000"/>
                <w:sz w:val="22"/>
                <w:szCs w:val="22"/>
                <w:lang w:val="af-ZA" w:bidi="ar-SA"/>
              </w:rPr>
            </w:pPr>
            <w:r w:rsidRPr="00A96F06">
              <w:rPr>
                <w:rFonts w:ascii="Times New Roman" w:eastAsia="Times New Roman" w:hAnsi="Times New Roman" w:cs="Times New Roman"/>
                <w:b/>
                <w:color w:val="000000"/>
                <w:sz w:val="22"/>
                <w:szCs w:val="22"/>
                <w:lang w:val="af-ZA" w:bidi="ar-SA"/>
              </w:rPr>
              <w:t>145,0</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b/>
                <w:color w:val="000000"/>
                <w:sz w:val="22"/>
                <w:szCs w:val="22"/>
                <w:lang w:val="af-ZA" w:bidi="ar-SA"/>
              </w:rPr>
            </w:pPr>
            <w:r w:rsidRPr="00A96F06">
              <w:rPr>
                <w:rFonts w:ascii="Times New Roman" w:eastAsia="Times New Roman" w:hAnsi="Times New Roman" w:cs="Times New Roman"/>
                <w:b/>
                <w:color w:val="000000"/>
                <w:sz w:val="22"/>
                <w:szCs w:val="22"/>
                <w:lang w:val="af-ZA" w:bidi="ar-SA"/>
              </w:rPr>
              <w:t>153,4</w:t>
            </w:r>
          </w:p>
        </w:tc>
        <w:tc>
          <w:tcPr>
            <w:tcW w:w="571"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b/>
                <w:color w:val="000000"/>
                <w:sz w:val="22"/>
                <w:szCs w:val="22"/>
                <w:lang w:val="af-ZA" w:bidi="ar-SA"/>
              </w:rPr>
            </w:pPr>
            <w:r w:rsidRPr="00A96F06">
              <w:rPr>
                <w:rFonts w:ascii="Times New Roman" w:eastAsia="Times New Roman" w:hAnsi="Times New Roman" w:cs="Times New Roman"/>
                <w:b/>
                <w:color w:val="000000"/>
                <w:sz w:val="22"/>
                <w:szCs w:val="22"/>
                <w:lang w:val="af-ZA" w:bidi="ar-SA"/>
              </w:rPr>
              <w:t>155,5</w:t>
            </w:r>
          </w:p>
        </w:tc>
        <w:tc>
          <w:tcPr>
            <w:tcW w:w="52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b/>
                <w:color w:val="000000"/>
                <w:sz w:val="22"/>
                <w:szCs w:val="22"/>
                <w:lang w:val="af-ZA" w:bidi="ar-SA"/>
              </w:rPr>
            </w:pPr>
            <w:r w:rsidRPr="00A96F06">
              <w:rPr>
                <w:rFonts w:ascii="Times New Roman" w:eastAsia="Times New Roman" w:hAnsi="Times New Roman" w:cs="Times New Roman"/>
                <w:b/>
                <w:color w:val="000000"/>
                <w:sz w:val="22"/>
                <w:szCs w:val="22"/>
                <w:lang w:val="af-ZA" w:bidi="ar-SA"/>
              </w:rPr>
              <w:t>1,4</w:t>
            </w:r>
          </w:p>
        </w:tc>
        <w:tc>
          <w:tcPr>
            <w:tcW w:w="499"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b/>
                <w:color w:val="000000"/>
                <w:sz w:val="22"/>
                <w:szCs w:val="22"/>
                <w:lang w:val="af-ZA" w:bidi="ar-SA"/>
              </w:rPr>
            </w:pPr>
            <w:r w:rsidRPr="00A96F06">
              <w:rPr>
                <w:rFonts w:ascii="Times New Roman" w:eastAsia="Times New Roman" w:hAnsi="Times New Roman" w:cs="Times New Roman"/>
                <w:b/>
                <w:color w:val="000000"/>
                <w:sz w:val="22"/>
                <w:szCs w:val="22"/>
                <w:lang w:val="af-ZA" w:bidi="ar-SA"/>
              </w:rPr>
              <w:t>9,1</w:t>
            </w:r>
          </w:p>
        </w:tc>
        <w:tc>
          <w:tcPr>
            <w:tcW w:w="633" w:type="dxa"/>
            <w:tcBorders>
              <w:top w:val="nil"/>
              <w:left w:val="nil"/>
              <w:bottom w:val="single" w:sz="4" w:space="0" w:color="auto"/>
              <w:right w:val="single" w:sz="4" w:space="0" w:color="auto"/>
            </w:tcBorders>
            <w:shd w:val="clear" w:color="auto" w:fill="auto"/>
            <w:noWrap/>
            <w:vAlign w:val="bottom"/>
            <w:hideMark/>
          </w:tcPr>
          <w:p w:rsidR="00A96F06" w:rsidRPr="00A96F06" w:rsidRDefault="00A96F06" w:rsidP="00A96F06">
            <w:pPr>
              <w:spacing w:before="0" w:after="0" w:line="240" w:lineRule="auto"/>
              <w:jc w:val="right"/>
              <w:rPr>
                <w:rFonts w:ascii="Times New Roman" w:eastAsia="Times New Roman" w:hAnsi="Times New Roman" w:cs="Times New Roman"/>
                <w:b/>
                <w:color w:val="000000"/>
                <w:sz w:val="22"/>
                <w:szCs w:val="22"/>
                <w:lang w:val="af-ZA" w:bidi="ar-SA"/>
              </w:rPr>
            </w:pPr>
            <w:r w:rsidRPr="00A96F06">
              <w:rPr>
                <w:rFonts w:ascii="Times New Roman" w:eastAsia="Times New Roman" w:hAnsi="Times New Roman" w:cs="Times New Roman"/>
                <w:b/>
                <w:color w:val="000000"/>
                <w:sz w:val="22"/>
                <w:szCs w:val="22"/>
                <w:lang w:val="af-ZA" w:bidi="ar-SA"/>
              </w:rPr>
              <w:t>25,8</w:t>
            </w:r>
          </w:p>
        </w:tc>
      </w:tr>
    </w:tbl>
    <w:p w:rsidR="00A96F06" w:rsidRDefault="00A96F06" w:rsidP="00B34192">
      <w:pPr>
        <w:rPr>
          <w:rFonts w:ascii="Tahoma" w:hAnsi="Tahoma" w:cs="Tahoma"/>
          <w:b/>
          <w:sz w:val="24"/>
          <w:szCs w:val="24"/>
          <w:lang w:val="af-ZA"/>
        </w:rPr>
      </w:pPr>
    </w:p>
    <w:p w:rsidR="00A96F06" w:rsidRDefault="00A96F06" w:rsidP="00B34192">
      <w:pPr>
        <w:rPr>
          <w:rFonts w:ascii="Tahoma" w:hAnsi="Tahoma" w:cs="Tahoma"/>
          <w:b/>
          <w:sz w:val="24"/>
          <w:szCs w:val="24"/>
          <w:lang w:val="af-ZA"/>
        </w:rPr>
      </w:pPr>
    </w:p>
    <w:p w:rsidR="00B34192" w:rsidRDefault="00B34192" w:rsidP="00B34192">
      <w:pPr>
        <w:rPr>
          <w:rFonts w:ascii="Tahoma" w:hAnsi="Tahoma" w:cs="Tahoma"/>
          <w:b/>
          <w:sz w:val="24"/>
          <w:szCs w:val="24"/>
          <w:lang w:val="af-ZA"/>
        </w:rPr>
      </w:pPr>
    </w:p>
    <w:p w:rsidR="00B34192" w:rsidRDefault="00B34192" w:rsidP="00B34192">
      <w:pPr>
        <w:rPr>
          <w:rFonts w:ascii="Tahoma" w:hAnsi="Tahoma" w:cs="Tahoma"/>
          <w:b/>
          <w:sz w:val="24"/>
          <w:szCs w:val="24"/>
          <w:lang w:val="af-ZA"/>
        </w:rPr>
      </w:pPr>
    </w:p>
    <w:p w:rsidR="00B34192" w:rsidRDefault="00B34192" w:rsidP="00B34192">
      <w:pPr>
        <w:rPr>
          <w:rFonts w:ascii="Tahoma" w:hAnsi="Tahoma" w:cs="Tahoma"/>
          <w:b/>
          <w:sz w:val="24"/>
          <w:szCs w:val="24"/>
          <w:lang w:val="af-ZA"/>
        </w:rPr>
      </w:pPr>
    </w:p>
    <w:p w:rsidR="00B34192" w:rsidRDefault="00B34192" w:rsidP="00B34192">
      <w:pPr>
        <w:rPr>
          <w:rFonts w:ascii="Tahoma" w:hAnsi="Tahoma" w:cs="Tahoma"/>
          <w:b/>
          <w:sz w:val="24"/>
          <w:szCs w:val="24"/>
          <w:lang w:val="af-ZA"/>
        </w:rPr>
      </w:pPr>
    </w:p>
    <w:p w:rsidR="00B34192" w:rsidRDefault="00B34192" w:rsidP="00B34192">
      <w:pPr>
        <w:rPr>
          <w:rFonts w:ascii="Tahoma" w:hAnsi="Tahoma" w:cs="Tahoma"/>
          <w:b/>
          <w:sz w:val="24"/>
          <w:szCs w:val="24"/>
          <w:lang w:val="af-ZA"/>
        </w:rPr>
      </w:pPr>
    </w:p>
    <w:p w:rsidR="00B34192" w:rsidRDefault="00B34192" w:rsidP="00B34192">
      <w:pPr>
        <w:rPr>
          <w:rFonts w:ascii="Tahoma" w:hAnsi="Tahoma" w:cs="Tahoma"/>
          <w:b/>
          <w:sz w:val="24"/>
          <w:szCs w:val="24"/>
          <w:lang w:val="af-ZA"/>
        </w:rPr>
      </w:pPr>
    </w:p>
    <w:p w:rsidR="00B34192" w:rsidRDefault="00B34192" w:rsidP="00B34192">
      <w:pPr>
        <w:rPr>
          <w:rFonts w:ascii="Tahoma" w:hAnsi="Tahoma" w:cs="Tahoma"/>
          <w:b/>
          <w:sz w:val="24"/>
          <w:szCs w:val="24"/>
          <w:lang w:val="af-ZA"/>
        </w:rPr>
      </w:pPr>
    </w:p>
    <w:p w:rsidR="00B34192" w:rsidRPr="00597E27" w:rsidRDefault="00B34192" w:rsidP="00B34192">
      <w:pPr>
        <w:rPr>
          <w:rFonts w:ascii="Tahoma" w:hAnsi="Tahoma" w:cs="Tahoma"/>
          <w:b/>
          <w:sz w:val="24"/>
          <w:szCs w:val="24"/>
          <w:lang w:val="af-ZA"/>
        </w:rPr>
      </w:pPr>
    </w:p>
    <w:p w:rsidR="00B34192" w:rsidRPr="00C73671" w:rsidRDefault="00B34192" w:rsidP="00B34192">
      <w:pPr>
        <w:jc w:val="both"/>
        <w:rPr>
          <w:rFonts w:ascii="Times New Roman" w:hAnsi="Times New Roman" w:cs="Times New Roman"/>
          <w:b/>
          <w:sz w:val="24"/>
          <w:szCs w:val="24"/>
          <w:lang w:val="af-ZA"/>
        </w:rPr>
      </w:pPr>
      <w:r w:rsidRPr="00C73671">
        <w:rPr>
          <w:rFonts w:ascii="Times New Roman" w:hAnsi="Times New Roman" w:cs="Times New Roman"/>
          <w:b/>
          <w:sz w:val="24"/>
          <w:szCs w:val="24"/>
          <w:lang w:val="af-ZA"/>
        </w:rPr>
        <w:t>Annexe 2. Evolution des indices des produits élementaires</w:t>
      </w:r>
    </w:p>
    <w:tbl>
      <w:tblPr>
        <w:tblW w:w="8794" w:type="dxa"/>
        <w:tblLook w:val="04A0" w:firstRow="1" w:lastRow="0" w:firstColumn="1" w:lastColumn="0" w:noHBand="0" w:noVBand="1"/>
      </w:tblPr>
      <w:tblGrid>
        <w:gridCol w:w="1886"/>
        <w:gridCol w:w="1183"/>
        <w:gridCol w:w="666"/>
        <w:gridCol w:w="666"/>
        <w:gridCol w:w="666"/>
        <w:gridCol w:w="666"/>
        <w:gridCol w:w="666"/>
        <w:gridCol w:w="666"/>
        <w:gridCol w:w="752"/>
        <w:gridCol w:w="752"/>
        <w:gridCol w:w="753"/>
      </w:tblGrid>
      <w:tr w:rsidR="00A96F06" w:rsidRPr="0049524E" w:rsidTr="0049524E">
        <w:trPr>
          <w:trHeight w:val="254"/>
          <w:tblHeader/>
        </w:trPr>
        <w:tc>
          <w:tcPr>
            <w:tcW w:w="1886" w:type="dxa"/>
            <w:vMerge w:val="restart"/>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A96F06" w:rsidRPr="0049524E" w:rsidRDefault="00A96F06" w:rsidP="00A96F06">
            <w:pPr>
              <w:spacing w:before="0" w:after="0" w:line="240" w:lineRule="auto"/>
              <w:jc w:val="center"/>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Intitulé des produits </w:t>
            </w:r>
          </w:p>
        </w:tc>
        <w:tc>
          <w:tcPr>
            <w:tcW w:w="1095" w:type="dxa"/>
            <w:vMerge w:val="restart"/>
            <w:tcBorders>
              <w:top w:val="single" w:sz="4" w:space="0" w:color="auto"/>
              <w:left w:val="single" w:sz="4" w:space="0" w:color="auto"/>
              <w:bottom w:val="single" w:sz="4" w:space="0" w:color="auto"/>
              <w:right w:val="single" w:sz="4" w:space="0" w:color="auto"/>
            </w:tcBorders>
            <w:shd w:val="clear" w:color="000000" w:fill="B4C6E7"/>
            <w:noWrap/>
            <w:vAlign w:val="bottom"/>
            <w:hideMark/>
          </w:tcPr>
          <w:p w:rsidR="00A96F06" w:rsidRPr="0049524E" w:rsidRDefault="00A96F06" w:rsidP="00A96F06">
            <w:pPr>
              <w:spacing w:before="0" w:after="0" w:line="240" w:lineRule="auto"/>
              <w:jc w:val="center"/>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Pondération</w:t>
            </w:r>
          </w:p>
        </w:tc>
        <w:tc>
          <w:tcPr>
            <w:tcW w:w="3556" w:type="dxa"/>
            <w:gridSpan w:val="6"/>
            <w:tcBorders>
              <w:top w:val="single" w:sz="4" w:space="0" w:color="auto"/>
              <w:left w:val="nil"/>
              <w:bottom w:val="single" w:sz="4" w:space="0" w:color="auto"/>
              <w:right w:val="single" w:sz="4" w:space="0" w:color="auto"/>
            </w:tcBorders>
            <w:shd w:val="clear" w:color="000000" w:fill="B4C6E7"/>
            <w:noWrap/>
            <w:vAlign w:val="bottom"/>
            <w:hideMark/>
          </w:tcPr>
          <w:p w:rsidR="00A96F06" w:rsidRPr="0049524E" w:rsidRDefault="00A96F06" w:rsidP="00A96F06">
            <w:pPr>
              <w:spacing w:before="0" w:after="0" w:line="240" w:lineRule="auto"/>
              <w:jc w:val="center"/>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Indices</w:t>
            </w:r>
          </w:p>
        </w:tc>
        <w:tc>
          <w:tcPr>
            <w:tcW w:w="2257" w:type="dxa"/>
            <w:gridSpan w:val="3"/>
            <w:tcBorders>
              <w:top w:val="single" w:sz="4" w:space="0" w:color="auto"/>
              <w:left w:val="nil"/>
              <w:bottom w:val="single" w:sz="4" w:space="0" w:color="auto"/>
              <w:right w:val="single" w:sz="4" w:space="0" w:color="auto"/>
            </w:tcBorders>
            <w:shd w:val="clear" w:color="000000" w:fill="B4C6E7"/>
            <w:noWrap/>
            <w:vAlign w:val="bottom"/>
            <w:hideMark/>
          </w:tcPr>
          <w:p w:rsidR="00A96F06" w:rsidRPr="0049524E" w:rsidRDefault="0049524E" w:rsidP="00A96F06">
            <w:pPr>
              <w:spacing w:before="0" w:after="0" w:line="240" w:lineRule="auto"/>
              <w:jc w:val="center"/>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Variation</w:t>
            </w:r>
            <w:r w:rsidR="00A96F06" w:rsidRPr="0049524E">
              <w:rPr>
                <w:rFonts w:ascii="Times New Roman" w:eastAsia="Times New Roman" w:hAnsi="Times New Roman" w:cs="Times New Roman"/>
                <w:color w:val="000000"/>
                <w:lang w:val="af-ZA" w:bidi="ar-SA"/>
              </w:rPr>
              <w:t xml:space="preserve"> en % sur:</w:t>
            </w:r>
          </w:p>
        </w:tc>
      </w:tr>
      <w:tr w:rsidR="00A96F06" w:rsidRPr="0049524E" w:rsidTr="0049524E">
        <w:trPr>
          <w:trHeight w:val="254"/>
          <w:tblHeader/>
        </w:trPr>
        <w:tc>
          <w:tcPr>
            <w:tcW w:w="1886" w:type="dxa"/>
            <w:vMerge/>
            <w:tcBorders>
              <w:top w:val="single" w:sz="4" w:space="0" w:color="auto"/>
              <w:left w:val="single" w:sz="4" w:space="0" w:color="auto"/>
              <w:bottom w:val="single" w:sz="4" w:space="0" w:color="auto"/>
              <w:right w:val="single" w:sz="4" w:space="0" w:color="auto"/>
            </w:tcBorders>
            <w:vAlign w:val="center"/>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p>
        </w:tc>
        <w:tc>
          <w:tcPr>
            <w:tcW w:w="592" w:type="dxa"/>
            <w:tcBorders>
              <w:top w:val="nil"/>
              <w:left w:val="nil"/>
              <w:bottom w:val="single" w:sz="4" w:space="0" w:color="auto"/>
              <w:right w:val="single" w:sz="4" w:space="0" w:color="auto"/>
            </w:tcBorders>
            <w:shd w:val="clear" w:color="000000" w:fill="B4C6E7"/>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août-22</w:t>
            </w:r>
          </w:p>
        </w:tc>
        <w:tc>
          <w:tcPr>
            <w:tcW w:w="592" w:type="dxa"/>
            <w:tcBorders>
              <w:top w:val="nil"/>
              <w:left w:val="nil"/>
              <w:bottom w:val="single" w:sz="4" w:space="0" w:color="auto"/>
              <w:right w:val="single" w:sz="4" w:space="0" w:color="auto"/>
            </w:tcBorders>
            <w:shd w:val="clear" w:color="000000" w:fill="B4C6E7"/>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sept-22</w:t>
            </w:r>
          </w:p>
        </w:tc>
        <w:tc>
          <w:tcPr>
            <w:tcW w:w="592" w:type="dxa"/>
            <w:tcBorders>
              <w:top w:val="nil"/>
              <w:left w:val="nil"/>
              <w:bottom w:val="single" w:sz="4" w:space="0" w:color="auto"/>
              <w:right w:val="single" w:sz="4" w:space="0" w:color="auto"/>
            </w:tcBorders>
            <w:shd w:val="clear" w:color="000000" w:fill="B4C6E7"/>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oct-22</w:t>
            </w:r>
          </w:p>
        </w:tc>
        <w:tc>
          <w:tcPr>
            <w:tcW w:w="592" w:type="dxa"/>
            <w:tcBorders>
              <w:top w:val="nil"/>
              <w:left w:val="nil"/>
              <w:bottom w:val="single" w:sz="4" w:space="0" w:color="auto"/>
              <w:right w:val="single" w:sz="4" w:space="0" w:color="auto"/>
            </w:tcBorders>
            <w:shd w:val="clear" w:color="000000" w:fill="B4C6E7"/>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nov-22</w:t>
            </w:r>
          </w:p>
        </w:tc>
        <w:tc>
          <w:tcPr>
            <w:tcW w:w="592" w:type="dxa"/>
            <w:tcBorders>
              <w:top w:val="nil"/>
              <w:left w:val="nil"/>
              <w:bottom w:val="single" w:sz="4" w:space="0" w:color="auto"/>
              <w:right w:val="single" w:sz="4" w:space="0" w:color="auto"/>
            </w:tcBorders>
            <w:shd w:val="clear" w:color="000000" w:fill="B4C6E7"/>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déc-22</w:t>
            </w:r>
          </w:p>
        </w:tc>
        <w:tc>
          <w:tcPr>
            <w:tcW w:w="592" w:type="dxa"/>
            <w:tcBorders>
              <w:top w:val="nil"/>
              <w:left w:val="nil"/>
              <w:bottom w:val="single" w:sz="4" w:space="0" w:color="auto"/>
              <w:right w:val="single" w:sz="4" w:space="0" w:color="auto"/>
            </w:tcBorders>
            <w:shd w:val="clear" w:color="000000" w:fill="B4C6E7"/>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janv-23</w:t>
            </w:r>
          </w:p>
        </w:tc>
        <w:tc>
          <w:tcPr>
            <w:tcW w:w="752" w:type="dxa"/>
            <w:tcBorders>
              <w:top w:val="nil"/>
              <w:left w:val="nil"/>
              <w:bottom w:val="single" w:sz="4" w:space="0" w:color="auto"/>
              <w:right w:val="single" w:sz="4" w:space="0" w:color="auto"/>
            </w:tcBorders>
            <w:shd w:val="clear" w:color="000000" w:fill="B4C6E7"/>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 Mois</w:t>
            </w:r>
          </w:p>
        </w:tc>
        <w:tc>
          <w:tcPr>
            <w:tcW w:w="752" w:type="dxa"/>
            <w:tcBorders>
              <w:top w:val="nil"/>
              <w:left w:val="nil"/>
              <w:bottom w:val="single" w:sz="4" w:space="0" w:color="auto"/>
              <w:right w:val="single" w:sz="4" w:space="0" w:color="auto"/>
            </w:tcBorders>
            <w:shd w:val="clear" w:color="000000" w:fill="B4C6E7"/>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 Trim</w:t>
            </w:r>
          </w:p>
        </w:tc>
        <w:tc>
          <w:tcPr>
            <w:tcW w:w="752" w:type="dxa"/>
            <w:tcBorders>
              <w:top w:val="nil"/>
              <w:left w:val="nil"/>
              <w:bottom w:val="single" w:sz="4" w:space="0" w:color="auto"/>
              <w:right w:val="single" w:sz="4" w:space="0" w:color="auto"/>
            </w:tcBorders>
            <w:shd w:val="clear" w:color="000000" w:fill="B4C6E7"/>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 Année</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Blé</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137,8</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145,4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175,6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155,5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154,9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163,1</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5,3</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3,2</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23,1</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Maïs</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23,0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213,0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241,3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291,8</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323,7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333,2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317,3</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-4,8</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30,6</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83,6</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Riz paddy</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9,0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152,8</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162,6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186,3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209,3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217,8</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229,0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5,1</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30,8</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76,2</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Sorgho à graines rouges</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177,8</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182,2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198,8</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212,5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212,9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221,9</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4,2</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15,8</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39,9</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Sorgho à graines blanches</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180,1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180,1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180,1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180,1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180,1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180,1</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41,7</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Eleusine</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154,7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155,6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164,4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173,7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175,8</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180,4</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2,6</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11,6</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20,1</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Pommes de terre</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35,0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168,8</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171,9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178,3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182,9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190,9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176,1</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-7,8</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5,9</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25,2</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Manioc doux</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55,0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107,6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104,1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112,9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122,5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130,0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129,3</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-0,5</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17,6</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25,9</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Manioc amer</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258,0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101,6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101,6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113,8</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106,0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119,3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122,2</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2,5</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9,6</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16,4</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Colocase (amateke y'Ikirundi</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7,0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112,7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44,9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52,4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49524E">
            <w:pPr>
              <w:spacing w:before="0" w:after="0" w:line="240" w:lineRule="auto"/>
              <w:jc w:val="center"/>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-33,5</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center"/>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Colocase (amateke y'Ikizungu)</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128,7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131,2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137,4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137,5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158,2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155,1</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13,5</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37,6</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Patates douces</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47,0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119,9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124,3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133,1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151,3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158,5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169,0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6,6</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26,9</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36,8</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Haricots jaune</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8,0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157,7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164,0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182,2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209,2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222,0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239,2</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7,8</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33,1</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59,6</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Haricots rouge</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147,0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158,7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186,7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218,1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237,5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269,2</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13,4</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47,2</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108,9</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Haricots mélangé (kirundo)</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148,8</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161,8</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190,9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225,9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248,5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273,0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9,9</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49,0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117,5</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Petit pois</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55,0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141,3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154,8</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171,4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183,5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191,6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214,2</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11,8</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26,1</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58,8</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 xml:space="preserve">Niébe </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186,7</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center"/>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100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center"/>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100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center"/>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100</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pois cajan</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150,0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163,9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228,2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242,0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278,6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283,6</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48,4</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139,4</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Arachides( coques ou décortiqué)</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253,2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261,1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283,2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312,8</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285,3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353,2</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23,8</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19,3</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57,7</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Soja</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192,8</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205,4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213,5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208,4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214,1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224,1</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4,7</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5,7</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14,8</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Tournesol</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143,3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143,3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143,3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159,2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159,2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159,2</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11,1</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66,7</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Café cérise</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39,0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190,0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190,0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190,0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190,0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190,0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190,0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14,3</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Thé brut (feuilles vertes)</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112,0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112,0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112,0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112,0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112,0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112,0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0,0</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Coton graine</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110,0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110,0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110,0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110,0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110,0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110,0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0,0</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Canne à sucre</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142,9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142,9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142,9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142,9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142,9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142,9</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0,0</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Amarantes (lenga lenga)</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26,0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130,4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129,6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156,0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148,6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145,3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135,8</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-6,5</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3,3</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31,2</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lastRenderedPageBreak/>
              <w:t>Ognons rouges</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8,0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92,2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91,9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95,1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108,6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109,9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118,0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7,4</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20,6</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0,2</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Ognons blancs</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115,6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110,0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118,0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127,0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127,0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134,0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5,5</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12,9</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25,7</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Aubergine Viollette ( Viringanya)</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122,3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125,3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143,7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139,5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121,5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119,5</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-2,8</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-5,8</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Aubergine Amer ( z'Ikirundi)</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9,0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157,8</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148,2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153,3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174,0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174,9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159,0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-9,1</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10,6</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16,1</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Tomate</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32,0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123,6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122,4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128,2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135,4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145,4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144,3</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-0,8</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13,6</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16,3</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C73671" w:rsidP="00A96F06">
            <w:pPr>
              <w:spacing w:before="0" w:after="0" w:line="240" w:lineRule="auto"/>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Choux pommé</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151,3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150,5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166,0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187,5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200,6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172,7</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-13,9</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19,9</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13,8</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Poireau</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7,0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133,1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147,0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145,9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120,2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131,0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137,3</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4,8</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-8,8</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35,1</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Poivron</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6,0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105,0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107,0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117,2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112,4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131,7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120,0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-8,9</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10,6</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8,9</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Carotte</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6,0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124,5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107,2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119,3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132,1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129,5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132,2</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2,1</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12,2</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-7,0</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Epinard</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6,0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109,6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115,9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116,2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135,5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133,4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135,2</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18,2</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-14,3</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Concombre</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6,0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507,7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523,4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587,2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center"/>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-100,0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-100,0</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 xml:space="preserve">Banane à cuire </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29,0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136,6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132,0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136,1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146,4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156,0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160,3</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2,8</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14,3</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39,8</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Banane à vin</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105,0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128,0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122,3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121,4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122,8</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132,5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137,7</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3,9</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5,7</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14,7</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Bananes à fruits longues</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128,5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128,3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163,4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134,2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143,0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144,2</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0,9</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0,3</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4,1</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Bananes à fuits courtes</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153,8</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149,5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149,1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153,7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162,1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170,4</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5,1</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7,5</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16,3</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Ananas</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139,1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136,5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143,5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144,6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141,2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136,9</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0,9</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6,1</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Oranges</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195,7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215,7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230,5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305,2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404,5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295,7</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-26,9</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56,6</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44,2</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Mandarines</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184,3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195,1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214,7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332,7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344,1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256,5</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-25,4</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57,1</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14,9</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Citrons</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135,5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154,1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170,2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194,1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199,4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215,5</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8,1</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32,5</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Maracouja</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115,7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123,7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144,3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139,0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130,0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132,0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4,5</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6,1</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Avocats</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161,9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165,5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165,0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157,0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163,1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169,5</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3,9</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-0,6</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31,5</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Mangues de grande taille</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174,5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187,1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122,0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157,6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128,2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140,4</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9,5</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-11,8</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18,5</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Mangue de petite taille</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153,7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151,7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185,7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179,4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132,2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138,7</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4,9</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-8,3</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3,3</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Prune du Japon</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120,6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110,7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119,6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118,6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122,2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120,4</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2,9</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5,7</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Taureau sur pied race locale (4 à 5 ans)</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169,7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164,6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159,1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160,6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171,2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163,6</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-4,4</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0,4</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13,8</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Vache sur pied (4 à 5 ans)</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174,1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180,0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175,1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178,9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184,7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178,4</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-3,4</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2,4</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22,1</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Mouton sur pied (3 à 5 ans)</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170,6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168,0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169,4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170,2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174,7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170,9</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-2,2</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8,5</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Chèvre locale sur pied (3 à 5 ans)</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155,1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152,8</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152,9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154,1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160,0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158,6</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-0,9</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2,6</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6,0</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Porcins sur pied (1 à 2 ans)</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9,0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160,6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159,6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160,2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164,5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177,7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169,3</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-4,8</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6,5</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32,8</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 xml:space="preserve">Lapin </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169,9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163,1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168,9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169,2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177,2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174,3</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3,8</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40,9</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Poules</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198,7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198,3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201,1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196,0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206,3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203,7</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-1,2</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21,1</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lastRenderedPageBreak/>
              <w:t>Canards</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137,3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148,1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156,3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154,5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159,0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154,2</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5,9</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29,5</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Cobayes</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160,1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160,9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162,2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165,6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157,2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165,7</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5,4</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16,6</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Lait de vache brut</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130,0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130,8</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131,8</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130,7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133,6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134,9</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0,9</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9,4</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Œufs</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189,9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188,6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191,4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192,1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194,5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195,0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0,3</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2,1</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17,0</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Miel</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116,7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113,9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115,6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117,4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119,1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116,7</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-0,2</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Grumes (bois d'œuvre)( Planche)</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108,1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105,2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106,5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105,3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106,3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104,7</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-1,5</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-1,1</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2,4</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Bois de chauffe</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75,9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75,9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75,9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80,5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80,5</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72,9</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-9,4</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2,7</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-10,2</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 xml:space="preserve">Charbon de bois </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131,2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135,8</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140,4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132,9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136,1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136,1</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-0,5</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10,6</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Ndagala</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288,2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298,9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290,3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264,8</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255,1</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266,8</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4,6</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-10,3</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23,1</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Nyamunyamu</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7,0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344,4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395,7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444,7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433,6</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322,2</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321,0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-0,4</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-9,1</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center"/>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100,0</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Kahuzo</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4,0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298,4</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310,9</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200,7</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203,8</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1,6</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-33,6</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center"/>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100,0</w:t>
            </w:r>
          </w:p>
        </w:tc>
      </w:tr>
      <w:tr w:rsidR="00A96F06" w:rsidRPr="0049524E" w:rsidTr="0049524E">
        <w:trPr>
          <w:trHeight w:val="254"/>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Mukeke</w:t>
            </w:r>
          </w:p>
        </w:tc>
        <w:tc>
          <w:tcPr>
            <w:tcW w:w="1095"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5,0</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177,3</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59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right"/>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49524E" w:rsidP="00A96F06">
            <w:pPr>
              <w:spacing w:before="0" w:after="0" w:line="240" w:lineRule="auto"/>
              <w:jc w:val="center"/>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-100,0</w:t>
            </w:r>
          </w:p>
        </w:tc>
        <w:tc>
          <w:tcPr>
            <w:tcW w:w="752" w:type="dxa"/>
            <w:tcBorders>
              <w:top w:val="nil"/>
              <w:left w:val="nil"/>
              <w:bottom w:val="single" w:sz="4" w:space="0" w:color="auto"/>
              <w:right w:val="single" w:sz="4" w:space="0" w:color="auto"/>
            </w:tcBorders>
            <w:shd w:val="clear" w:color="auto" w:fill="auto"/>
            <w:noWrap/>
            <w:vAlign w:val="bottom"/>
            <w:hideMark/>
          </w:tcPr>
          <w:p w:rsidR="00A96F06" w:rsidRPr="0049524E" w:rsidRDefault="00A96F06" w:rsidP="00A96F06">
            <w:pPr>
              <w:spacing w:before="0" w:after="0" w:line="240" w:lineRule="auto"/>
              <w:jc w:val="right"/>
              <w:rPr>
                <w:rFonts w:ascii="Times New Roman" w:eastAsia="Times New Roman" w:hAnsi="Times New Roman" w:cs="Times New Roman"/>
                <w:color w:val="000000"/>
                <w:lang w:val="af-ZA" w:bidi="ar-SA"/>
              </w:rPr>
            </w:pPr>
            <w:r w:rsidRPr="0049524E">
              <w:rPr>
                <w:rFonts w:ascii="Times New Roman" w:eastAsia="Times New Roman" w:hAnsi="Times New Roman" w:cs="Times New Roman"/>
                <w:color w:val="000000"/>
                <w:lang w:val="af-ZA" w:bidi="ar-SA"/>
              </w:rPr>
              <w:t>-100,0</w:t>
            </w:r>
          </w:p>
        </w:tc>
      </w:tr>
    </w:tbl>
    <w:p w:rsidR="00B34192" w:rsidRPr="00C73671" w:rsidRDefault="00B34192" w:rsidP="00B34192">
      <w:pPr>
        <w:rPr>
          <w:rFonts w:ascii="Times New Roman" w:hAnsi="Times New Roman" w:cs="Times New Roman"/>
          <w:b/>
          <w:sz w:val="24"/>
          <w:szCs w:val="24"/>
          <w:lang w:val="af-ZA"/>
        </w:rPr>
      </w:pPr>
    </w:p>
    <w:p w:rsidR="00B34192" w:rsidRPr="00C73671" w:rsidRDefault="00B34192" w:rsidP="00B34192">
      <w:pPr>
        <w:ind w:left="1276" w:hanging="1276"/>
        <w:jc w:val="both"/>
        <w:rPr>
          <w:rFonts w:ascii="Times New Roman" w:hAnsi="Times New Roman" w:cs="Times New Roman"/>
          <w:b/>
          <w:sz w:val="24"/>
          <w:szCs w:val="24"/>
          <w:lang w:val="af-ZA"/>
        </w:rPr>
      </w:pPr>
      <w:r w:rsidRPr="00C73671">
        <w:rPr>
          <w:rFonts w:ascii="Times New Roman" w:hAnsi="Times New Roman" w:cs="Times New Roman"/>
          <w:b/>
          <w:sz w:val="24"/>
          <w:szCs w:val="24"/>
          <w:lang w:val="af-ZA"/>
        </w:rPr>
        <w:t>Annexe 3: Prix des produit</w:t>
      </w:r>
      <w:r w:rsidR="00C73671" w:rsidRPr="00C73671">
        <w:rPr>
          <w:rFonts w:ascii="Times New Roman" w:hAnsi="Times New Roman" w:cs="Times New Roman"/>
          <w:b/>
          <w:sz w:val="24"/>
          <w:szCs w:val="24"/>
          <w:lang w:val="af-ZA"/>
        </w:rPr>
        <w:t xml:space="preserve">s agricoles des mois de </w:t>
      </w:r>
      <w:r w:rsidRPr="00C73671">
        <w:rPr>
          <w:rFonts w:ascii="Times New Roman" w:hAnsi="Times New Roman" w:cs="Times New Roman"/>
          <w:b/>
          <w:sz w:val="24"/>
          <w:szCs w:val="24"/>
          <w:lang w:val="af-ZA"/>
        </w:rPr>
        <w:t>décembre 2022</w:t>
      </w:r>
      <w:r w:rsidR="00C73671" w:rsidRPr="00C73671">
        <w:rPr>
          <w:rFonts w:ascii="Times New Roman" w:hAnsi="Times New Roman" w:cs="Times New Roman"/>
          <w:b/>
          <w:sz w:val="24"/>
          <w:szCs w:val="24"/>
          <w:lang w:val="af-ZA"/>
        </w:rPr>
        <w:t xml:space="preserve"> et de janvier 2023</w:t>
      </w:r>
    </w:p>
    <w:p w:rsidR="00C73671" w:rsidRDefault="00C73671" w:rsidP="00B34192">
      <w:pPr>
        <w:ind w:left="1276" w:hanging="1276"/>
        <w:jc w:val="both"/>
        <w:rPr>
          <w:rFonts w:ascii="Tahoma" w:hAnsi="Tahoma" w:cs="Tahoma"/>
          <w:b/>
          <w:sz w:val="24"/>
          <w:szCs w:val="24"/>
          <w:lang w:val="af-ZA"/>
        </w:rPr>
      </w:pPr>
    </w:p>
    <w:tbl>
      <w:tblPr>
        <w:tblW w:w="9396" w:type="dxa"/>
        <w:tblLook w:val="04A0" w:firstRow="1" w:lastRow="0" w:firstColumn="1" w:lastColumn="0" w:noHBand="0" w:noVBand="1"/>
      </w:tblPr>
      <w:tblGrid>
        <w:gridCol w:w="1183"/>
        <w:gridCol w:w="3441"/>
        <w:gridCol w:w="972"/>
        <w:gridCol w:w="848"/>
        <w:gridCol w:w="1558"/>
        <w:gridCol w:w="1459"/>
      </w:tblGrid>
      <w:tr w:rsidR="00C73671" w:rsidRPr="00C73671" w:rsidTr="00C73671">
        <w:trPr>
          <w:trHeight w:val="615"/>
          <w:tblHeader/>
        </w:trPr>
        <w:tc>
          <w:tcPr>
            <w:tcW w:w="1183"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C73671" w:rsidRPr="00C73671" w:rsidRDefault="00C73671" w:rsidP="00C73671">
            <w:pPr>
              <w:spacing w:before="0" w:after="0" w:line="240" w:lineRule="auto"/>
              <w:jc w:val="center"/>
              <w:rPr>
                <w:rFonts w:ascii="Times New Roman" w:eastAsia="Times New Roman" w:hAnsi="Times New Roman" w:cs="Times New Roman"/>
                <w:b/>
                <w:bCs/>
                <w:color w:val="000000"/>
                <w:lang w:val="af-ZA" w:bidi="ar-SA"/>
              </w:rPr>
            </w:pPr>
            <w:r w:rsidRPr="00C73671">
              <w:rPr>
                <w:rFonts w:ascii="Times New Roman" w:eastAsia="Times New Roman" w:hAnsi="Times New Roman" w:cs="Times New Roman"/>
                <w:b/>
                <w:bCs/>
                <w:color w:val="000000"/>
                <w:lang w:val="af-ZA" w:bidi="ar-SA"/>
              </w:rPr>
              <w:t>N</w:t>
            </w:r>
            <w:r w:rsidRPr="00C73671">
              <w:rPr>
                <w:rFonts w:ascii="Times New Roman" w:eastAsia="Times New Roman" w:hAnsi="Times New Roman" w:cs="Times New Roman"/>
                <w:b/>
                <w:bCs/>
                <w:color w:val="000000"/>
                <w:vertAlign w:val="superscript"/>
                <w:lang w:val="af-ZA" w:bidi="ar-SA"/>
              </w:rPr>
              <w:t>o</w:t>
            </w:r>
          </w:p>
        </w:tc>
        <w:tc>
          <w:tcPr>
            <w:tcW w:w="3441" w:type="dxa"/>
            <w:tcBorders>
              <w:top w:val="single" w:sz="4" w:space="0" w:color="auto"/>
              <w:left w:val="nil"/>
              <w:bottom w:val="single" w:sz="4" w:space="0" w:color="auto"/>
              <w:right w:val="single" w:sz="4" w:space="0" w:color="auto"/>
            </w:tcBorders>
            <w:shd w:val="clear" w:color="000000" w:fill="F8CBAD"/>
            <w:noWrap/>
            <w:vAlign w:val="center"/>
            <w:hideMark/>
          </w:tcPr>
          <w:p w:rsidR="00C73671" w:rsidRPr="00C73671" w:rsidRDefault="00C73671" w:rsidP="00C73671">
            <w:pPr>
              <w:spacing w:before="0" w:after="0" w:line="240" w:lineRule="auto"/>
              <w:jc w:val="center"/>
              <w:rPr>
                <w:rFonts w:ascii="Times New Roman" w:eastAsia="Times New Roman" w:hAnsi="Times New Roman" w:cs="Times New Roman"/>
                <w:b/>
                <w:bCs/>
                <w:color w:val="000000"/>
                <w:lang w:val="af-ZA" w:bidi="ar-SA"/>
              </w:rPr>
            </w:pPr>
            <w:r w:rsidRPr="00C73671">
              <w:rPr>
                <w:rFonts w:ascii="Times New Roman" w:eastAsia="Times New Roman" w:hAnsi="Times New Roman" w:cs="Times New Roman"/>
                <w:b/>
                <w:bCs/>
                <w:color w:val="000000"/>
                <w:lang w:val="af-ZA" w:bidi="ar-SA"/>
              </w:rPr>
              <w:t>Nom du Produit</w:t>
            </w:r>
          </w:p>
        </w:tc>
        <w:tc>
          <w:tcPr>
            <w:tcW w:w="907" w:type="dxa"/>
            <w:tcBorders>
              <w:top w:val="single" w:sz="4" w:space="0" w:color="auto"/>
              <w:left w:val="nil"/>
              <w:bottom w:val="single" w:sz="4" w:space="0" w:color="auto"/>
              <w:right w:val="single" w:sz="4" w:space="0" w:color="auto"/>
            </w:tcBorders>
            <w:shd w:val="clear" w:color="000000" w:fill="F8CBAD"/>
            <w:noWrap/>
            <w:vAlign w:val="center"/>
            <w:hideMark/>
          </w:tcPr>
          <w:p w:rsidR="00C73671" w:rsidRPr="00C73671" w:rsidRDefault="00C73671" w:rsidP="00C73671">
            <w:pPr>
              <w:spacing w:before="0" w:after="0" w:line="240" w:lineRule="auto"/>
              <w:jc w:val="center"/>
              <w:rPr>
                <w:rFonts w:ascii="Times New Roman" w:eastAsia="Times New Roman" w:hAnsi="Times New Roman" w:cs="Times New Roman"/>
                <w:b/>
                <w:bCs/>
                <w:color w:val="000000"/>
                <w:lang w:val="af-ZA" w:bidi="ar-SA"/>
              </w:rPr>
            </w:pPr>
            <w:r w:rsidRPr="00C73671">
              <w:rPr>
                <w:rFonts w:ascii="Times New Roman" w:eastAsia="Times New Roman" w:hAnsi="Times New Roman" w:cs="Times New Roman"/>
                <w:b/>
                <w:bCs/>
                <w:color w:val="000000"/>
                <w:lang w:val="af-ZA" w:bidi="ar-SA"/>
              </w:rPr>
              <w:t>Quantité</w:t>
            </w:r>
          </w:p>
        </w:tc>
        <w:tc>
          <w:tcPr>
            <w:tcW w:w="848" w:type="dxa"/>
            <w:tcBorders>
              <w:top w:val="single" w:sz="4" w:space="0" w:color="auto"/>
              <w:left w:val="nil"/>
              <w:bottom w:val="single" w:sz="4" w:space="0" w:color="auto"/>
              <w:right w:val="single" w:sz="4" w:space="0" w:color="auto"/>
            </w:tcBorders>
            <w:shd w:val="clear" w:color="000000" w:fill="F8CBAD"/>
            <w:noWrap/>
            <w:vAlign w:val="center"/>
            <w:hideMark/>
          </w:tcPr>
          <w:p w:rsidR="00C73671" w:rsidRPr="00C73671" w:rsidRDefault="00C73671" w:rsidP="00C73671">
            <w:pPr>
              <w:spacing w:before="0" w:after="0" w:line="240" w:lineRule="auto"/>
              <w:jc w:val="center"/>
              <w:rPr>
                <w:rFonts w:ascii="Times New Roman" w:eastAsia="Times New Roman" w:hAnsi="Times New Roman" w:cs="Times New Roman"/>
                <w:b/>
                <w:bCs/>
                <w:color w:val="000000"/>
                <w:lang w:val="af-ZA" w:bidi="ar-SA"/>
              </w:rPr>
            </w:pPr>
            <w:r w:rsidRPr="00C73671">
              <w:rPr>
                <w:rFonts w:ascii="Times New Roman" w:eastAsia="Times New Roman" w:hAnsi="Times New Roman" w:cs="Times New Roman"/>
                <w:b/>
                <w:bCs/>
                <w:color w:val="000000"/>
                <w:lang w:val="af-ZA" w:bidi="ar-SA"/>
              </w:rPr>
              <w:t>Unité</w:t>
            </w:r>
          </w:p>
        </w:tc>
        <w:tc>
          <w:tcPr>
            <w:tcW w:w="1558" w:type="dxa"/>
            <w:tcBorders>
              <w:top w:val="single" w:sz="4" w:space="0" w:color="auto"/>
              <w:left w:val="nil"/>
              <w:bottom w:val="single" w:sz="4" w:space="0" w:color="auto"/>
              <w:right w:val="single" w:sz="4" w:space="0" w:color="auto"/>
            </w:tcBorders>
            <w:shd w:val="clear" w:color="000000" w:fill="F8CBAD"/>
            <w:noWrap/>
            <w:vAlign w:val="center"/>
            <w:hideMark/>
          </w:tcPr>
          <w:p w:rsidR="00C73671" w:rsidRPr="00C73671" w:rsidRDefault="00C73671" w:rsidP="00C73671">
            <w:pPr>
              <w:spacing w:before="0" w:after="0" w:line="240" w:lineRule="auto"/>
              <w:jc w:val="center"/>
              <w:rPr>
                <w:rFonts w:ascii="Times New Roman" w:eastAsia="Times New Roman" w:hAnsi="Times New Roman" w:cs="Times New Roman"/>
                <w:b/>
                <w:bCs/>
                <w:color w:val="000000"/>
                <w:lang w:val="af-ZA" w:bidi="ar-SA"/>
              </w:rPr>
            </w:pPr>
            <w:r w:rsidRPr="00C73671">
              <w:rPr>
                <w:rFonts w:ascii="Times New Roman" w:eastAsia="Times New Roman" w:hAnsi="Times New Roman" w:cs="Times New Roman"/>
                <w:b/>
                <w:bCs/>
                <w:color w:val="000000"/>
                <w:lang w:val="af-ZA" w:bidi="ar-SA"/>
              </w:rPr>
              <w:t>Prix du mois de décembre 2022 en fbu</w:t>
            </w:r>
          </w:p>
        </w:tc>
        <w:tc>
          <w:tcPr>
            <w:tcW w:w="1459" w:type="dxa"/>
            <w:tcBorders>
              <w:top w:val="single" w:sz="4" w:space="0" w:color="auto"/>
              <w:left w:val="nil"/>
              <w:bottom w:val="single" w:sz="4" w:space="0" w:color="auto"/>
              <w:right w:val="single" w:sz="4" w:space="0" w:color="auto"/>
            </w:tcBorders>
            <w:shd w:val="clear" w:color="000000" w:fill="F8CBAD"/>
            <w:noWrap/>
            <w:vAlign w:val="center"/>
            <w:hideMark/>
          </w:tcPr>
          <w:p w:rsidR="00C73671" w:rsidRPr="00C73671" w:rsidRDefault="00C73671" w:rsidP="00C73671">
            <w:pPr>
              <w:spacing w:before="0" w:after="0" w:line="240" w:lineRule="auto"/>
              <w:jc w:val="center"/>
              <w:rPr>
                <w:rFonts w:ascii="Times New Roman" w:eastAsia="Times New Roman" w:hAnsi="Times New Roman" w:cs="Times New Roman"/>
                <w:b/>
                <w:bCs/>
                <w:color w:val="000000"/>
                <w:lang w:val="af-ZA" w:bidi="ar-SA"/>
              </w:rPr>
            </w:pPr>
            <w:r w:rsidRPr="00C73671">
              <w:rPr>
                <w:rFonts w:ascii="Times New Roman" w:eastAsia="Times New Roman" w:hAnsi="Times New Roman" w:cs="Times New Roman"/>
                <w:b/>
                <w:bCs/>
                <w:color w:val="000000"/>
                <w:lang w:val="af-ZA" w:bidi="ar-SA"/>
              </w:rPr>
              <w:t>Prix du mois de janvier  2023 en fbu</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Blé</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1764</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1857</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Maïs</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1948</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1855</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3</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Riz paddy</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1772</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1863</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4</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Sorgho à graines rouges</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1843</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1921</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5</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Sorgho à graines blanches</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1700</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1700</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6</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Eleusine</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1840</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1889</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7</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Pomme de terre</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954</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880</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8</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Manioc doux</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668</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664</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9</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Manioc amer</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642</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658</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10</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Colocase (amateke y'Ikizungu)</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969</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951</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11</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Patates douces</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483</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515</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12</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Haricots jaune</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2773</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2988</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13</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Haricots rouge</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2179</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2470</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14</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Haricots mélangé (kirundo)</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2154</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2366</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15</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Petit pois</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3612</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4038</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16</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Niébé</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 </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2500</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lastRenderedPageBreak/>
              <w:t>17</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Pois cajan</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2763</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2813</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18</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Arachides( coques ou décortiqué)</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4105</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5081</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19</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Soja</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2245</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2350</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20</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Tournesol</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1000</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1000</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21</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Amarantes (lenga lenga)</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534</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499</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22</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Ognons rouges</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1461</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1569</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23</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Ognons blancs</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1578</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1665</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24</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Aubergine violette (Viringanya)</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547</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538</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25</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Aubergine Amer ( z'Ikirundi)</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724</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659</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26</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Tomate</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1071</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1063</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27</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Pr>
                <w:rFonts w:ascii="Times New Roman" w:eastAsia="Times New Roman" w:hAnsi="Times New Roman" w:cs="Times New Roman"/>
                <w:color w:val="000000"/>
                <w:lang w:val="af-ZA" w:bidi="ar-SA"/>
              </w:rPr>
              <w:t>Choux pommé</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360</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310</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28</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Poireau</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1120</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1174</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29</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Poivron</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1300</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1184</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30</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Carotte</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1054</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1075</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31</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Epinard</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525</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532</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32</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Café cérise</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800</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800</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33</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Thé(feuille verte)</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280</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280</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34</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coton graine</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550</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550</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35</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Canne à sucre</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Tonne</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10000</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10000</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36</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Banane à cuire</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665</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684</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37</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Banane à vin</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490</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510</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38</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Bananes à fruits longues</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506</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511</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39</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Bananes à fruits courtes</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866</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910</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40</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Ananas</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530</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514</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41</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Oranges</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2172</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1588</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42</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Mandarines</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2262</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1687</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43</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Citrons</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801</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866</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44</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Maracouja</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1240</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1259</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45</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Avocats</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617</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642</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46</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Mangues de grande taille</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827</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906</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47</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Mangue de petite taille</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419</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440</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48</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Prune du Japon</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1999</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1970</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49</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Taureau sur pied race locale (4 à 5 ans)</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Tête</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1346567</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1286684</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50</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Vache sur pied (4 à 5 ans)</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Tête</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1138824</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1100227</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51</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Mouton sur pied (3 à 5 ans)</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Tête</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99623</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97463</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lastRenderedPageBreak/>
              <w:t>52</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Chèvre locale sur pied (3 à 5 ans)</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Tête</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111814</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110786</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53</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Porcins sur pied (1 à 2 ans)</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Tête</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258538</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246241</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54</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Lapin</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Tête</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9796</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9638</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55</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Poules</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10713</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10579</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56</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Canards</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8649</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8391</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57</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Cobayes</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Tête</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1176</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1239</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58</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Lait de vache brut</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Littre</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914</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923</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59</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Œufs</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unité</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457</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458</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60</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Miel</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Kg</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7813</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7655</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61</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Grumes (bois d'œuvre)( Planche)</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Pièce</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3729</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3674</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62</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Bois de chauffe</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Stère</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11667</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10569</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63</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 xml:space="preserve">Charbon de bois </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Sac</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16273</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16273</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64</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Ndagala</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Caisse</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833333</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871667</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65</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Nyamunyamu</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Caisse</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722667</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720000</w:t>
            </w:r>
          </w:p>
        </w:tc>
      </w:tr>
      <w:tr w:rsidR="00C73671" w:rsidRPr="00C73671" w:rsidTr="00C73671">
        <w:trPr>
          <w:trHeight w:val="300"/>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66</w:t>
            </w:r>
          </w:p>
        </w:tc>
        <w:tc>
          <w:tcPr>
            <w:tcW w:w="3441"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Kahuzo</w:t>
            </w:r>
          </w:p>
        </w:tc>
        <w:tc>
          <w:tcPr>
            <w:tcW w:w="907"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1</w:t>
            </w:r>
          </w:p>
        </w:tc>
        <w:tc>
          <w:tcPr>
            <w:tcW w:w="84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Caisse</w:t>
            </w:r>
          </w:p>
        </w:tc>
        <w:tc>
          <w:tcPr>
            <w:tcW w:w="1558"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482500</w:t>
            </w:r>
          </w:p>
        </w:tc>
        <w:tc>
          <w:tcPr>
            <w:tcW w:w="1459" w:type="dxa"/>
            <w:tcBorders>
              <w:top w:val="nil"/>
              <w:left w:val="nil"/>
              <w:bottom w:val="single" w:sz="4" w:space="0" w:color="auto"/>
              <w:right w:val="single" w:sz="4" w:space="0" w:color="auto"/>
            </w:tcBorders>
            <w:shd w:val="clear" w:color="auto" w:fill="auto"/>
            <w:noWrap/>
            <w:vAlign w:val="bottom"/>
            <w:hideMark/>
          </w:tcPr>
          <w:p w:rsidR="00C73671" w:rsidRPr="00C73671" w:rsidRDefault="00C73671" w:rsidP="00C73671">
            <w:pPr>
              <w:spacing w:before="0" w:after="0" w:line="240" w:lineRule="auto"/>
              <w:jc w:val="right"/>
              <w:rPr>
                <w:rFonts w:ascii="Times New Roman" w:eastAsia="Times New Roman" w:hAnsi="Times New Roman" w:cs="Times New Roman"/>
                <w:color w:val="000000"/>
                <w:lang w:val="af-ZA" w:bidi="ar-SA"/>
              </w:rPr>
            </w:pPr>
            <w:r w:rsidRPr="00C73671">
              <w:rPr>
                <w:rFonts w:ascii="Times New Roman" w:eastAsia="Times New Roman" w:hAnsi="Times New Roman" w:cs="Times New Roman"/>
                <w:color w:val="000000"/>
                <w:lang w:val="af-ZA" w:bidi="ar-SA"/>
              </w:rPr>
              <w:t>490000</w:t>
            </w:r>
          </w:p>
        </w:tc>
      </w:tr>
    </w:tbl>
    <w:p w:rsidR="00B34192" w:rsidRDefault="00B34192" w:rsidP="00B34192">
      <w:pPr>
        <w:autoSpaceDE w:val="0"/>
        <w:autoSpaceDN w:val="0"/>
        <w:adjustRightInd w:val="0"/>
        <w:spacing w:before="0" w:after="0"/>
        <w:jc w:val="both"/>
        <w:rPr>
          <w:rFonts w:ascii="Tahoma" w:hAnsi="Tahoma" w:cs="Tahoma"/>
          <w:b/>
          <w:sz w:val="22"/>
          <w:szCs w:val="22"/>
          <w:lang w:val="af-ZA"/>
        </w:rPr>
      </w:pPr>
    </w:p>
    <w:p w:rsidR="00B34192" w:rsidRPr="00C73671" w:rsidRDefault="00B34192" w:rsidP="00B34192">
      <w:pPr>
        <w:autoSpaceDE w:val="0"/>
        <w:autoSpaceDN w:val="0"/>
        <w:adjustRightInd w:val="0"/>
        <w:spacing w:before="0" w:after="0"/>
        <w:jc w:val="both"/>
        <w:rPr>
          <w:rFonts w:ascii="Times New Roman" w:hAnsi="Times New Roman" w:cs="Times New Roman"/>
          <w:b/>
          <w:bCs/>
          <w:sz w:val="24"/>
          <w:szCs w:val="24"/>
          <w:lang w:val="af-ZA" w:bidi="ar-SA"/>
        </w:rPr>
      </w:pPr>
      <w:r w:rsidRPr="00C73671">
        <w:rPr>
          <w:rFonts w:ascii="Times New Roman" w:hAnsi="Times New Roman" w:cs="Times New Roman"/>
          <w:b/>
          <w:bCs/>
          <w:sz w:val="24"/>
          <w:szCs w:val="24"/>
          <w:lang w:val="af-ZA" w:bidi="ar-SA"/>
        </w:rPr>
        <w:t>Annexe 4 : Note méthodologique</w:t>
      </w:r>
    </w:p>
    <w:p w:rsidR="00B34192" w:rsidRPr="00C73671" w:rsidRDefault="00B34192" w:rsidP="00B34192">
      <w:pPr>
        <w:autoSpaceDE w:val="0"/>
        <w:autoSpaceDN w:val="0"/>
        <w:adjustRightInd w:val="0"/>
        <w:spacing w:before="0" w:after="0"/>
        <w:jc w:val="both"/>
        <w:rPr>
          <w:rFonts w:ascii="Times New Roman" w:hAnsi="Times New Roman" w:cs="Times New Roman"/>
          <w:b/>
          <w:bCs/>
          <w:sz w:val="24"/>
          <w:szCs w:val="24"/>
          <w:lang w:val="en-US" w:bidi="ar-SA"/>
        </w:rPr>
      </w:pPr>
    </w:p>
    <w:p w:rsidR="00B34192" w:rsidRPr="00C73671" w:rsidRDefault="00B34192" w:rsidP="00B34192">
      <w:pPr>
        <w:pStyle w:val="Paragraphedeliste"/>
        <w:numPr>
          <w:ilvl w:val="0"/>
          <w:numId w:val="1"/>
        </w:numPr>
        <w:autoSpaceDE w:val="0"/>
        <w:autoSpaceDN w:val="0"/>
        <w:adjustRightInd w:val="0"/>
        <w:spacing w:before="0" w:after="0"/>
        <w:jc w:val="both"/>
        <w:rPr>
          <w:rFonts w:ascii="Times New Roman" w:hAnsi="Times New Roman" w:cs="Times New Roman"/>
          <w:b/>
          <w:bCs/>
          <w:sz w:val="24"/>
          <w:szCs w:val="24"/>
          <w:lang w:val="af-ZA" w:bidi="ar-SA"/>
        </w:rPr>
      </w:pPr>
      <w:r w:rsidRPr="00C73671">
        <w:rPr>
          <w:rFonts w:ascii="Times New Roman" w:hAnsi="Times New Roman" w:cs="Times New Roman"/>
          <w:b/>
          <w:bCs/>
          <w:sz w:val="24"/>
          <w:szCs w:val="24"/>
          <w:lang w:val="af-ZA" w:bidi="ar-SA"/>
        </w:rPr>
        <w:t>Définition et couverture</w:t>
      </w:r>
    </w:p>
    <w:p w:rsidR="00B34192" w:rsidRPr="00C73671" w:rsidRDefault="00B34192" w:rsidP="00B34192">
      <w:pPr>
        <w:autoSpaceDE w:val="0"/>
        <w:autoSpaceDN w:val="0"/>
        <w:adjustRightInd w:val="0"/>
        <w:spacing w:before="0" w:after="0"/>
        <w:jc w:val="both"/>
        <w:rPr>
          <w:rFonts w:ascii="Times New Roman" w:hAnsi="Times New Roman" w:cs="Times New Roman"/>
          <w:b/>
          <w:bCs/>
          <w:sz w:val="24"/>
          <w:szCs w:val="24"/>
          <w:lang w:val="en-US" w:bidi="ar-SA"/>
        </w:rPr>
      </w:pPr>
    </w:p>
    <w:p w:rsidR="00B34192" w:rsidRPr="00C73671" w:rsidRDefault="00B34192" w:rsidP="00B34192">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L’Institut National de la Statistiques du Burundi (INSBU) met à la disposition du public, un indicateur de mesure de l’inflation des produits de l’agriculture ; de l’élevage et de la pêche.</w:t>
      </w:r>
    </w:p>
    <w:p w:rsidR="00B34192" w:rsidRPr="00C73671" w:rsidRDefault="00B34192" w:rsidP="00B34192">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Dénommé « Indice des prix à la Production agricole ». Il comprend les céréales ; les tubercules et racines ; les légumineuses ; les plantes oléagineuses ; les cultures industrielles ; les légumes frais ; la banane ; les fruits frais, les bovins, les ovins et caprins ; les porcins ; les produits d’élevages et volailles, les sous-produits de l’élevage ; les produits de la sylviculture et de l’exploitation forestière ainsi que les produits de la pêche (coutumière et artisanale).</w:t>
      </w:r>
    </w:p>
    <w:p w:rsidR="00B34192" w:rsidRPr="00C73671" w:rsidRDefault="00B34192" w:rsidP="00B34192">
      <w:pPr>
        <w:autoSpaceDE w:val="0"/>
        <w:autoSpaceDN w:val="0"/>
        <w:adjustRightInd w:val="0"/>
        <w:spacing w:before="0" w:after="0"/>
        <w:ind w:right="-590"/>
        <w:jc w:val="both"/>
        <w:rPr>
          <w:rFonts w:ascii="Times New Roman" w:hAnsi="Times New Roman" w:cs="Times New Roman"/>
          <w:sz w:val="24"/>
          <w:szCs w:val="24"/>
          <w:lang w:bidi="ar-SA"/>
        </w:rPr>
      </w:pPr>
    </w:p>
    <w:p w:rsidR="00B34192" w:rsidRPr="00C73671" w:rsidRDefault="00B34192" w:rsidP="00B34192">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L’Indice des Prix à la Production Agricole au Burundi (IPPAB) vise à mesurer l’évolution, dans le temps, des prix reçus par les agriculteurs-éleveurs par rapport à la situation de référence. Il ne donne pas le niveau des prix entre deux périodes, mais s’intéresse à comment les prix pratiqués ou reçus par les producteurs augmentent ou diminuent dans le temps. </w:t>
      </w:r>
    </w:p>
    <w:p w:rsidR="00B34192" w:rsidRPr="00C73671" w:rsidRDefault="00B34192" w:rsidP="00B34192">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En d’autres termes, il prédit ce que seront les prix à la consommation. L'observation des prix intervient à la première mise en marché, en principe à la sortie des exploitations agricoles. C’est </w:t>
      </w:r>
      <w:r w:rsidRPr="00C73671">
        <w:rPr>
          <w:rFonts w:ascii="Times New Roman" w:hAnsi="Times New Roman" w:cs="Times New Roman"/>
          <w:sz w:val="24"/>
          <w:szCs w:val="24"/>
          <w:lang w:bidi="ar-SA"/>
        </w:rPr>
        <w:lastRenderedPageBreak/>
        <w:t xml:space="preserve">un prix au premier stade de la production, à la différence des prix à la consommation. Il faut exclure, dans la mesure du possible, les marges des intermédiaires, taxes et subventions, les coûts de transport et les coûts de stockage. </w:t>
      </w:r>
    </w:p>
    <w:p w:rsidR="00B34192" w:rsidRPr="00C73671" w:rsidRDefault="00B34192" w:rsidP="00B34192">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Cet IPPAB est utilisé par les systèmes statistiques, les autorités nationales et locales, les partenaires au développement, les agents économiques publics et privés, les chercheurs etc. Il est établi à l'aide des données sur les prix exprimés en francs Burundais. La couverture de l’indice des prix à la production est l’ensemble du territoire national sauf la Mairie de Bujumbura. </w:t>
      </w:r>
    </w:p>
    <w:p w:rsidR="00B34192" w:rsidRPr="00C73671" w:rsidRDefault="00B34192" w:rsidP="00B34192">
      <w:pPr>
        <w:autoSpaceDE w:val="0"/>
        <w:autoSpaceDN w:val="0"/>
        <w:adjustRightInd w:val="0"/>
        <w:spacing w:before="0" w:after="0"/>
        <w:ind w:right="-590"/>
        <w:jc w:val="both"/>
        <w:rPr>
          <w:rFonts w:ascii="Times New Roman" w:hAnsi="Times New Roman" w:cs="Times New Roman"/>
          <w:sz w:val="24"/>
          <w:szCs w:val="24"/>
          <w:lang w:bidi="ar-SA"/>
        </w:rPr>
      </w:pPr>
    </w:p>
    <w:p w:rsidR="00B34192" w:rsidRPr="00C73671" w:rsidRDefault="00B34192" w:rsidP="00B34192">
      <w:pPr>
        <w:autoSpaceDE w:val="0"/>
        <w:autoSpaceDN w:val="0"/>
        <w:adjustRightInd w:val="0"/>
        <w:spacing w:before="0" w:after="0"/>
        <w:ind w:right="-590"/>
        <w:jc w:val="both"/>
        <w:rPr>
          <w:rFonts w:ascii="Times New Roman" w:hAnsi="Times New Roman" w:cs="Times New Roman"/>
          <w:sz w:val="24"/>
          <w:szCs w:val="24"/>
          <w:lang w:bidi="ar-SA"/>
        </w:rPr>
      </w:pPr>
    </w:p>
    <w:p w:rsidR="00B34192" w:rsidRPr="00C73671" w:rsidRDefault="00B34192" w:rsidP="00B34192">
      <w:pPr>
        <w:autoSpaceDE w:val="0"/>
        <w:autoSpaceDN w:val="0"/>
        <w:adjustRightInd w:val="0"/>
        <w:spacing w:before="0" w:after="0"/>
        <w:ind w:right="-590"/>
        <w:jc w:val="both"/>
        <w:rPr>
          <w:rFonts w:ascii="Times New Roman" w:hAnsi="Times New Roman" w:cs="Times New Roman"/>
          <w:b/>
          <w:sz w:val="24"/>
          <w:szCs w:val="24"/>
          <w:lang w:bidi="ar-SA"/>
        </w:rPr>
      </w:pPr>
      <w:r w:rsidRPr="00C73671">
        <w:rPr>
          <w:rFonts w:ascii="Times New Roman" w:hAnsi="Times New Roman" w:cs="Times New Roman"/>
          <w:b/>
          <w:sz w:val="24"/>
          <w:szCs w:val="24"/>
          <w:lang w:bidi="ar-SA"/>
        </w:rPr>
        <w:t>2. Pondération</w:t>
      </w:r>
    </w:p>
    <w:p w:rsidR="00B34192" w:rsidRPr="00C73671" w:rsidRDefault="00B34192" w:rsidP="00B34192">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L’année de base est de 2018 avec des coefficients de pondération qui ont été calculés à l’aide des structures des comptes nationaux de 2014. </w:t>
      </w:r>
    </w:p>
    <w:p w:rsidR="00B34192" w:rsidRPr="00C73671" w:rsidRDefault="00B34192" w:rsidP="00B34192">
      <w:pPr>
        <w:autoSpaceDE w:val="0"/>
        <w:autoSpaceDN w:val="0"/>
        <w:adjustRightInd w:val="0"/>
        <w:spacing w:before="0" w:after="0"/>
        <w:ind w:right="-590"/>
        <w:jc w:val="both"/>
        <w:rPr>
          <w:rFonts w:ascii="Times New Roman" w:hAnsi="Times New Roman" w:cs="Times New Roman"/>
          <w:sz w:val="24"/>
          <w:szCs w:val="24"/>
          <w:lang w:bidi="ar-SA"/>
        </w:rPr>
      </w:pPr>
    </w:p>
    <w:p w:rsidR="00B34192" w:rsidRPr="00C73671" w:rsidRDefault="00B34192" w:rsidP="00B34192">
      <w:pPr>
        <w:autoSpaceDE w:val="0"/>
        <w:autoSpaceDN w:val="0"/>
        <w:adjustRightInd w:val="0"/>
        <w:spacing w:before="0" w:after="0"/>
        <w:ind w:right="-590"/>
        <w:jc w:val="both"/>
        <w:rPr>
          <w:rFonts w:ascii="Times New Roman" w:hAnsi="Times New Roman" w:cs="Times New Roman"/>
          <w:b/>
          <w:sz w:val="24"/>
          <w:szCs w:val="24"/>
          <w:lang w:bidi="ar-SA"/>
        </w:rPr>
      </w:pPr>
      <w:r w:rsidRPr="00C73671">
        <w:rPr>
          <w:rFonts w:ascii="Times New Roman" w:hAnsi="Times New Roman" w:cs="Times New Roman"/>
          <w:b/>
          <w:sz w:val="24"/>
          <w:szCs w:val="24"/>
          <w:lang w:bidi="ar-SA"/>
        </w:rPr>
        <w:t>3. Méthodologie</w:t>
      </w:r>
    </w:p>
    <w:p w:rsidR="00B34192" w:rsidRPr="00C73671" w:rsidRDefault="00B34192" w:rsidP="00B34192">
      <w:pPr>
        <w:autoSpaceDE w:val="0"/>
        <w:autoSpaceDN w:val="0"/>
        <w:adjustRightInd w:val="0"/>
        <w:spacing w:before="0" w:after="0"/>
        <w:ind w:right="-590"/>
        <w:jc w:val="both"/>
        <w:rPr>
          <w:rFonts w:ascii="Times New Roman" w:hAnsi="Times New Roman" w:cs="Times New Roman"/>
          <w:sz w:val="24"/>
          <w:szCs w:val="24"/>
          <w:lang w:bidi="ar-SA"/>
        </w:rPr>
      </w:pPr>
    </w:p>
    <w:p w:rsidR="00B34192" w:rsidRPr="00C73671" w:rsidRDefault="00B34192" w:rsidP="00B34192">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Les relevés des prix sont effectués chaque mois par les enquêteurs permanents de l’Institut National de la Statistique du Burundi.  Le prix moyen converti du produit est retenu comme une valeur utilisée lors du calcul de l’indice.</w:t>
      </w:r>
    </w:p>
    <w:p w:rsidR="00B34192" w:rsidRPr="00C73671" w:rsidRDefault="00B34192" w:rsidP="00B34192">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 xml:space="preserve">L'indice des prix à la production des produits agricoles et les indices des groupes de produits agricoles sont calculés à l'aide de la formule de </w:t>
      </w:r>
      <w:proofErr w:type="spellStart"/>
      <w:r w:rsidRPr="00C73671">
        <w:rPr>
          <w:rFonts w:ascii="Times New Roman" w:hAnsi="Times New Roman" w:cs="Times New Roman"/>
          <w:sz w:val="24"/>
          <w:szCs w:val="24"/>
          <w:lang w:bidi="ar-SA"/>
        </w:rPr>
        <w:t>Laspeyres</w:t>
      </w:r>
      <w:proofErr w:type="spellEnd"/>
      <w:r w:rsidRPr="00C73671">
        <w:rPr>
          <w:rFonts w:ascii="Times New Roman" w:hAnsi="Times New Roman" w:cs="Times New Roman"/>
          <w:sz w:val="24"/>
          <w:szCs w:val="24"/>
          <w:lang w:bidi="ar-SA"/>
        </w:rPr>
        <w:t>. L’indice, pour un certain groupe de produits et pour une année donnée, est, par conséquent, calculé comme la valeur à prix courant des produits appartenant au groupe, divisé par la valeur au prix de la période de base du même panier de produits. Les Indices des prix des produits individuels sont calculés en divisant les prix en monnaie locale au cours d'une année donnée par les prix en monnaie locale au cours de la période de base.</w:t>
      </w:r>
    </w:p>
    <w:p w:rsidR="00B34192" w:rsidRPr="00C73671" w:rsidRDefault="00B34192" w:rsidP="00B34192">
      <w:pPr>
        <w:autoSpaceDE w:val="0"/>
        <w:autoSpaceDN w:val="0"/>
        <w:adjustRightInd w:val="0"/>
        <w:spacing w:before="0" w:after="0"/>
        <w:ind w:right="-590"/>
        <w:jc w:val="both"/>
        <w:rPr>
          <w:rFonts w:ascii="Times New Roman" w:hAnsi="Times New Roman" w:cs="Times New Roman"/>
          <w:sz w:val="24"/>
          <w:szCs w:val="24"/>
          <w:lang w:bidi="ar-SA"/>
        </w:rPr>
      </w:pPr>
      <w:r w:rsidRPr="00C73671">
        <w:rPr>
          <w:rFonts w:ascii="Times New Roman" w:hAnsi="Times New Roman" w:cs="Times New Roman"/>
          <w:sz w:val="24"/>
          <w:szCs w:val="24"/>
          <w:lang w:bidi="ar-SA"/>
        </w:rPr>
        <w:t>La publication est mensuelle.</w:t>
      </w:r>
    </w:p>
    <w:p w:rsidR="00B34192" w:rsidRPr="00C73671" w:rsidRDefault="00B34192" w:rsidP="00B34192">
      <w:pPr>
        <w:autoSpaceDE w:val="0"/>
        <w:autoSpaceDN w:val="0"/>
        <w:adjustRightInd w:val="0"/>
        <w:spacing w:before="0" w:after="0"/>
        <w:ind w:right="-590"/>
        <w:jc w:val="both"/>
        <w:rPr>
          <w:rFonts w:ascii="Times New Roman" w:hAnsi="Times New Roman" w:cs="Times New Roman"/>
          <w:sz w:val="24"/>
          <w:szCs w:val="24"/>
          <w:lang w:bidi="ar-SA"/>
        </w:rPr>
      </w:pPr>
    </w:p>
    <w:p w:rsidR="00B34192" w:rsidRPr="00C73671" w:rsidRDefault="00B34192" w:rsidP="00B34192">
      <w:pPr>
        <w:rPr>
          <w:rFonts w:ascii="Times New Roman" w:hAnsi="Times New Roman" w:cs="Times New Roman"/>
        </w:rPr>
      </w:pPr>
      <w:r w:rsidRPr="00C73671">
        <w:rPr>
          <w:rFonts w:ascii="Times New Roman" w:hAnsi="Times New Roman" w:cs="Times New Roman"/>
          <w:sz w:val="24"/>
          <w:szCs w:val="24"/>
          <w:lang w:bidi="ar-SA"/>
        </w:rPr>
        <w:t>Des compléments méthodologiques sont disponibles à l’INSBU, au niveau du service en charge de la production de l’IPPAB</w:t>
      </w:r>
    </w:p>
    <w:p w:rsidR="00B34192" w:rsidRDefault="00B34192" w:rsidP="00B34192"/>
    <w:p w:rsidR="005E690F" w:rsidRDefault="005E690F"/>
    <w:sectPr w:rsidR="005E690F" w:rsidSect="00A96F06">
      <w:pgSz w:w="12240" w:h="15840"/>
      <w:pgMar w:top="1440" w:right="2034"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6CB" w:rsidRDefault="009A76CB">
      <w:pPr>
        <w:spacing w:before="0" w:after="0" w:line="240" w:lineRule="auto"/>
      </w:pPr>
      <w:r>
        <w:separator/>
      </w:r>
    </w:p>
  </w:endnote>
  <w:endnote w:type="continuationSeparator" w:id="0">
    <w:p w:rsidR="009A76CB" w:rsidRDefault="009A76C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13" w:type="pct"/>
      <w:tblBorders>
        <w:top w:val="single" w:sz="18" w:space="0" w:color="808080"/>
        <w:insideV w:val="single" w:sz="18" w:space="0" w:color="808080"/>
      </w:tblBorders>
      <w:tblLook w:val="04A0" w:firstRow="1" w:lastRow="0" w:firstColumn="1" w:lastColumn="0" w:noHBand="0" w:noVBand="1"/>
    </w:tblPr>
    <w:tblGrid>
      <w:gridCol w:w="8843"/>
    </w:tblGrid>
    <w:tr w:rsidR="00C73671" w:rsidRPr="00971FB4" w:rsidTr="00A96F06">
      <w:tc>
        <w:tcPr>
          <w:tcW w:w="12419" w:type="dxa"/>
        </w:tcPr>
        <w:tbl>
          <w:tblPr>
            <w:tblW w:w="5000" w:type="pct"/>
            <w:tblBorders>
              <w:top w:val="single" w:sz="18" w:space="0" w:color="808080"/>
              <w:insideV w:val="single" w:sz="18" w:space="0" w:color="808080"/>
            </w:tblBorders>
            <w:tblLook w:val="04A0" w:firstRow="1" w:lastRow="0" w:firstColumn="1" w:lastColumn="0" w:noHBand="0" w:noVBand="1"/>
          </w:tblPr>
          <w:tblGrid>
            <w:gridCol w:w="897"/>
            <w:gridCol w:w="7730"/>
          </w:tblGrid>
          <w:tr w:rsidR="00C73671" w:rsidRPr="00745880" w:rsidTr="00A96F06">
            <w:tc>
              <w:tcPr>
                <w:tcW w:w="918" w:type="dxa"/>
              </w:tcPr>
              <w:p w:rsidR="00C73671" w:rsidRDefault="00C73671" w:rsidP="00A96F06">
                <w:pPr>
                  <w:pStyle w:val="Pieddepage"/>
                  <w:jc w:val="right"/>
                  <w:rPr>
                    <w:b/>
                    <w:color w:val="4F81BD"/>
                    <w:sz w:val="32"/>
                    <w:szCs w:val="32"/>
                  </w:rPr>
                </w:pPr>
                <w:r>
                  <w:fldChar w:fldCharType="begin"/>
                </w:r>
                <w:r>
                  <w:instrText xml:space="preserve"> PAGE   \* MERGEFORMAT </w:instrText>
                </w:r>
                <w:r>
                  <w:fldChar w:fldCharType="separate"/>
                </w:r>
                <w:r w:rsidR="00694995" w:rsidRPr="00694995">
                  <w:rPr>
                    <w:b/>
                    <w:noProof/>
                    <w:color w:val="4F81BD"/>
                    <w:sz w:val="32"/>
                    <w:szCs w:val="32"/>
                  </w:rPr>
                  <w:t>2</w:t>
                </w:r>
                <w:r>
                  <w:rPr>
                    <w:b/>
                    <w:noProof/>
                    <w:color w:val="4F81BD"/>
                    <w:sz w:val="32"/>
                    <w:szCs w:val="32"/>
                  </w:rPr>
                  <w:fldChar w:fldCharType="end"/>
                </w:r>
              </w:p>
            </w:tc>
            <w:tc>
              <w:tcPr>
                <w:tcW w:w="7938" w:type="dxa"/>
              </w:tcPr>
              <w:p w:rsidR="00C73671" w:rsidRPr="00B311D2" w:rsidRDefault="00C73671" w:rsidP="00A96F06">
                <w:pPr>
                  <w:pStyle w:val="Pieddepage"/>
                  <w:pBdr>
                    <w:top w:val="thinThickSmallGap" w:sz="24" w:space="1" w:color="622423"/>
                  </w:pBdr>
                  <w:rPr>
                    <w:rFonts w:ascii="Arial Narrow" w:hAnsi="Arial Narrow"/>
                    <w:b/>
                  </w:rPr>
                </w:pPr>
                <w:r>
                  <w:rPr>
                    <w:rFonts w:ascii="Arial Narrow" w:hAnsi="Arial Narrow"/>
                    <w:b/>
                  </w:rPr>
                  <w:t>INSBU</w:t>
                </w:r>
                <w:r w:rsidRPr="00B311D2">
                  <w:rPr>
                    <w:rFonts w:ascii="Arial Narrow" w:hAnsi="Arial Narrow"/>
                    <w:b/>
                  </w:rPr>
                  <w:t>, Zone ROHERO, Quartier INSS, Avenue de l’Aviation, N°06, B.P. 1156 BUJUMBURA</w:t>
                </w:r>
              </w:p>
              <w:p w:rsidR="00C73671" w:rsidRDefault="00C73671" w:rsidP="00A96F06">
                <w:pPr>
                  <w:pStyle w:val="Pieddepage"/>
                  <w:pBdr>
                    <w:top w:val="thinThickSmallGap" w:sz="24" w:space="1" w:color="622423"/>
                  </w:pBdr>
                  <w:rPr>
                    <w:rFonts w:ascii="Arial Narrow" w:hAnsi="Arial Narrow"/>
                    <w:b/>
                  </w:rPr>
                </w:pPr>
                <w:r w:rsidRPr="00B311D2">
                  <w:rPr>
                    <w:rFonts w:ascii="Arial Narrow" w:hAnsi="Arial Narrow"/>
                    <w:b/>
                  </w:rPr>
                  <w:t>Tél : (+257) 22 222149/ 22 226729, 22226734/35, FAX :(+257) 22 222635,</w:t>
                </w:r>
              </w:p>
              <w:p w:rsidR="00C73671" w:rsidRPr="00694995" w:rsidRDefault="00C73671" w:rsidP="00A96F06">
                <w:pPr>
                  <w:pStyle w:val="Pieddepage"/>
                  <w:pBdr>
                    <w:top w:val="thinThickSmallGap" w:sz="24" w:space="1" w:color="622423"/>
                  </w:pBdr>
                  <w:rPr>
                    <w:rFonts w:ascii="Arial Narrow" w:hAnsi="Arial Narrow"/>
                    <w:b/>
                    <w:lang w:val="en-US"/>
                  </w:rPr>
                </w:pPr>
                <w:r w:rsidRPr="00694995">
                  <w:rPr>
                    <w:rFonts w:ascii="Arial Narrow" w:hAnsi="Arial Narrow"/>
                    <w:b/>
                    <w:lang w:val="en-US"/>
                  </w:rPr>
                  <w:t>E-mail :</w:t>
                </w:r>
                <w:r w:rsidR="00694995" w:rsidRPr="00694995">
                  <w:rPr>
                    <w:rStyle w:val="Lienhypertexte"/>
                    <w:b/>
                    <w:lang w:val="en-US"/>
                  </w:rPr>
                  <w:t>ins.burundi@insbu.bi;</w:t>
                </w:r>
                <w:r w:rsidRPr="00694995">
                  <w:rPr>
                    <w:rFonts w:ascii="Arial Narrow" w:hAnsi="Arial Narrow"/>
                    <w:b/>
                    <w:lang w:val="en-US"/>
                  </w:rPr>
                  <w:t xml:space="preserve"> </w:t>
                </w:r>
                <w:hyperlink r:id="rId1" w:history="1">
                  <w:r w:rsidRPr="00694995">
                    <w:rPr>
                      <w:rStyle w:val="Lienhypertexte"/>
                      <w:rFonts w:ascii="Arial Narrow" w:hAnsi="Arial Narrow"/>
                      <w:b/>
                      <w:lang w:val="en-US"/>
                    </w:rPr>
                    <w:t>isteebu@isteebu.bi</w:t>
                  </w:r>
                </w:hyperlink>
                <w:r w:rsidRPr="00694995">
                  <w:rPr>
                    <w:rFonts w:ascii="Arial Narrow" w:hAnsi="Arial Narrow"/>
                    <w:b/>
                    <w:lang w:val="en-US"/>
                  </w:rPr>
                  <w:t xml:space="preserve">, Site Web : </w:t>
                </w:r>
                <w:hyperlink r:id="rId2" w:history="1">
                  <w:r w:rsidRPr="00694995">
                    <w:rPr>
                      <w:rStyle w:val="Lienhypertexte"/>
                      <w:rFonts w:ascii="Arial Narrow" w:hAnsi="Arial Narrow"/>
                      <w:b/>
                      <w:lang w:val="en-US"/>
                    </w:rPr>
                    <w:t>www.isteebu.bi</w:t>
                  </w:r>
                </w:hyperlink>
                <w:r w:rsidR="00694995">
                  <w:rPr>
                    <w:rFonts w:ascii="Arial Narrow" w:hAnsi="Arial Narrow"/>
                    <w:b/>
                    <w:lang w:val="en-US"/>
                  </w:rPr>
                  <w:t xml:space="preserve"> ,Twitter : @INSBURUNDI</w:t>
                </w:r>
              </w:p>
              <w:p w:rsidR="00C73671" w:rsidRPr="00127421" w:rsidRDefault="00C73671" w:rsidP="00A96F06">
                <w:pPr>
                  <w:widowControl w:val="0"/>
                  <w:spacing w:before="0" w:after="0" w:line="240" w:lineRule="auto"/>
                  <w:jc w:val="center"/>
                  <w:rPr>
                    <w:rFonts w:ascii="Tahoma" w:hAnsi="Tahoma" w:cs="Tahoma"/>
                    <w:b/>
                    <w:color w:val="0000FF"/>
                    <w:sz w:val="14"/>
                    <w:szCs w:val="14"/>
                    <w:u w:val="single"/>
                    <w:lang w:val="it-IT"/>
                  </w:rPr>
                </w:pPr>
              </w:p>
              <w:p w:rsidR="00C73671" w:rsidRPr="00745880" w:rsidRDefault="00C73671" w:rsidP="00A96F06">
                <w:pPr>
                  <w:widowControl w:val="0"/>
                  <w:spacing w:before="0" w:after="0" w:line="240" w:lineRule="auto"/>
                  <w:jc w:val="center"/>
                  <w:rPr>
                    <w:lang w:val="it-IT"/>
                  </w:rPr>
                </w:pPr>
                <w:r w:rsidRPr="00B311D2">
                  <w:rPr>
                    <w:rFonts w:ascii="Cambria" w:hAnsi="Cambria"/>
                    <w:b/>
                    <w:i/>
                    <w:sz w:val="24"/>
                    <w:szCs w:val="24"/>
                  </w:rPr>
                  <w:t>Devise : « En</w:t>
                </w:r>
                <w:r>
                  <w:rPr>
                    <w:rFonts w:ascii="Cambria" w:hAnsi="Cambria"/>
                    <w:b/>
                    <w:i/>
                    <w:sz w:val="24"/>
                    <w:szCs w:val="24"/>
                  </w:rPr>
                  <w:t xml:space="preserve"> </w:t>
                </w:r>
                <w:r w:rsidRPr="00B311D2">
                  <w:rPr>
                    <w:rFonts w:ascii="Cambria" w:hAnsi="Cambria"/>
                    <w:b/>
                    <w:i/>
                    <w:sz w:val="24"/>
                    <w:szCs w:val="24"/>
                  </w:rPr>
                  <w:t>marche avec les Statistiques</w:t>
                </w:r>
                <w:r>
                  <w:rPr>
                    <w:rFonts w:ascii="Cambria" w:hAnsi="Cambria"/>
                    <w:b/>
                    <w:i/>
                    <w:sz w:val="24"/>
                    <w:szCs w:val="24"/>
                  </w:rPr>
                  <w:t xml:space="preserve"> </w:t>
                </w:r>
                <w:r w:rsidRPr="00B311D2">
                  <w:rPr>
                    <w:rFonts w:ascii="Cambria" w:hAnsi="Cambria"/>
                    <w:b/>
                    <w:i/>
                    <w:sz w:val="24"/>
                    <w:szCs w:val="24"/>
                  </w:rPr>
                  <w:t>Fiables au Service du Développement »</w:t>
                </w:r>
              </w:p>
            </w:tc>
          </w:tr>
        </w:tbl>
        <w:p w:rsidR="00C73671" w:rsidRPr="00E32C21" w:rsidRDefault="00C73671" w:rsidP="00A96F06">
          <w:pPr>
            <w:spacing w:before="0" w:after="0" w:line="240" w:lineRule="auto"/>
            <w:jc w:val="center"/>
            <w:rPr>
              <w:sz w:val="18"/>
              <w:szCs w:val="18"/>
            </w:rPr>
          </w:pPr>
        </w:p>
      </w:tc>
    </w:tr>
  </w:tbl>
  <w:p w:rsidR="00C73671" w:rsidRPr="00FB45B1" w:rsidRDefault="00C73671" w:rsidP="00A96F06">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6CB" w:rsidRDefault="009A76CB">
      <w:pPr>
        <w:spacing w:before="0" w:after="0" w:line="240" w:lineRule="auto"/>
      </w:pPr>
      <w:r>
        <w:separator/>
      </w:r>
    </w:p>
  </w:footnote>
  <w:footnote w:type="continuationSeparator" w:id="0">
    <w:p w:rsidR="009A76CB" w:rsidRDefault="009A76C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70391"/>
    <w:multiLevelType w:val="hybridMultilevel"/>
    <w:tmpl w:val="ED0A1696"/>
    <w:lvl w:ilvl="0" w:tplc="BC1C10B4">
      <w:start w:val="1"/>
      <w:numFmt w:val="bullet"/>
      <w:lvlText w:val="•"/>
      <w:lvlJc w:val="left"/>
      <w:pPr>
        <w:tabs>
          <w:tab w:val="num" w:pos="720"/>
        </w:tabs>
        <w:ind w:left="720" w:hanging="360"/>
      </w:pPr>
      <w:rPr>
        <w:rFonts w:ascii="Times New Roman" w:hAnsi="Times New Roman" w:hint="default"/>
      </w:rPr>
    </w:lvl>
    <w:lvl w:ilvl="1" w:tplc="2A94F3F4" w:tentative="1">
      <w:start w:val="1"/>
      <w:numFmt w:val="bullet"/>
      <w:lvlText w:val="•"/>
      <w:lvlJc w:val="left"/>
      <w:pPr>
        <w:tabs>
          <w:tab w:val="num" w:pos="1440"/>
        </w:tabs>
        <w:ind w:left="1440" w:hanging="360"/>
      </w:pPr>
      <w:rPr>
        <w:rFonts w:ascii="Times New Roman" w:hAnsi="Times New Roman" w:hint="default"/>
      </w:rPr>
    </w:lvl>
    <w:lvl w:ilvl="2" w:tplc="93627F34" w:tentative="1">
      <w:start w:val="1"/>
      <w:numFmt w:val="bullet"/>
      <w:lvlText w:val="•"/>
      <w:lvlJc w:val="left"/>
      <w:pPr>
        <w:tabs>
          <w:tab w:val="num" w:pos="2160"/>
        </w:tabs>
        <w:ind w:left="2160" w:hanging="360"/>
      </w:pPr>
      <w:rPr>
        <w:rFonts w:ascii="Times New Roman" w:hAnsi="Times New Roman" w:hint="default"/>
      </w:rPr>
    </w:lvl>
    <w:lvl w:ilvl="3" w:tplc="78780D1C" w:tentative="1">
      <w:start w:val="1"/>
      <w:numFmt w:val="bullet"/>
      <w:lvlText w:val="•"/>
      <w:lvlJc w:val="left"/>
      <w:pPr>
        <w:tabs>
          <w:tab w:val="num" w:pos="2880"/>
        </w:tabs>
        <w:ind w:left="2880" w:hanging="360"/>
      </w:pPr>
      <w:rPr>
        <w:rFonts w:ascii="Times New Roman" w:hAnsi="Times New Roman" w:hint="default"/>
      </w:rPr>
    </w:lvl>
    <w:lvl w:ilvl="4" w:tplc="4A3C5566" w:tentative="1">
      <w:start w:val="1"/>
      <w:numFmt w:val="bullet"/>
      <w:lvlText w:val="•"/>
      <w:lvlJc w:val="left"/>
      <w:pPr>
        <w:tabs>
          <w:tab w:val="num" w:pos="3600"/>
        </w:tabs>
        <w:ind w:left="3600" w:hanging="360"/>
      </w:pPr>
      <w:rPr>
        <w:rFonts w:ascii="Times New Roman" w:hAnsi="Times New Roman" w:hint="default"/>
      </w:rPr>
    </w:lvl>
    <w:lvl w:ilvl="5" w:tplc="B9988F36" w:tentative="1">
      <w:start w:val="1"/>
      <w:numFmt w:val="bullet"/>
      <w:lvlText w:val="•"/>
      <w:lvlJc w:val="left"/>
      <w:pPr>
        <w:tabs>
          <w:tab w:val="num" w:pos="4320"/>
        </w:tabs>
        <w:ind w:left="4320" w:hanging="360"/>
      </w:pPr>
      <w:rPr>
        <w:rFonts w:ascii="Times New Roman" w:hAnsi="Times New Roman" w:hint="default"/>
      </w:rPr>
    </w:lvl>
    <w:lvl w:ilvl="6" w:tplc="B03ED206" w:tentative="1">
      <w:start w:val="1"/>
      <w:numFmt w:val="bullet"/>
      <w:lvlText w:val="•"/>
      <w:lvlJc w:val="left"/>
      <w:pPr>
        <w:tabs>
          <w:tab w:val="num" w:pos="5040"/>
        </w:tabs>
        <w:ind w:left="5040" w:hanging="360"/>
      </w:pPr>
      <w:rPr>
        <w:rFonts w:ascii="Times New Roman" w:hAnsi="Times New Roman" w:hint="default"/>
      </w:rPr>
    </w:lvl>
    <w:lvl w:ilvl="7" w:tplc="E9BC87AC" w:tentative="1">
      <w:start w:val="1"/>
      <w:numFmt w:val="bullet"/>
      <w:lvlText w:val="•"/>
      <w:lvlJc w:val="left"/>
      <w:pPr>
        <w:tabs>
          <w:tab w:val="num" w:pos="5760"/>
        </w:tabs>
        <w:ind w:left="5760" w:hanging="360"/>
      </w:pPr>
      <w:rPr>
        <w:rFonts w:ascii="Times New Roman" w:hAnsi="Times New Roman" w:hint="default"/>
      </w:rPr>
    </w:lvl>
    <w:lvl w:ilvl="8" w:tplc="418296A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2907AB7"/>
    <w:multiLevelType w:val="hybridMultilevel"/>
    <w:tmpl w:val="0F907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192"/>
    <w:rsid w:val="00230CD2"/>
    <w:rsid w:val="0049524E"/>
    <w:rsid w:val="005270B1"/>
    <w:rsid w:val="0054564C"/>
    <w:rsid w:val="005E690F"/>
    <w:rsid w:val="00694995"/>
    <w:rsid w:val="007C1488"/>
    <w:rsid w:val="009451A5"/>
    <w:rsid w:val="009A76CB"/>
    <w:rsid w:val="00A71CB6"/>
    <w:rsid w:val="00A8120A"/>
    <w:rsid w:val="00A96F06"/>
    <w:rsid w:val="00B06494"/>
    <w:rsid w:val="00B34192"/>
    <w:rsid w:val="00C73671"/>
    <w:rsid w:val="00D46E91"/>
    <w:rsid w:val="00D47DBA"/>
    <w:rsid w:val="00DE063A"/>
    <w:rsid w:val="00E70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EE368"/>
  <w15:chartTrackingRefBased/>
  <w15:docId w15:val="{039DCA53-651F-42FD-B8F8-155D6D0FE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192"/>
    <w:pPr>
      <w:spacing w:before="200" w:after="200" w:line="276" w:lineRule="auto"/>
    </w:pPr>
    <w:rPr>
      <w:sz w:val="20"/>
      <w:szCs w:val="20"/>
      <w:lang w:val="fr-FR"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link w:val="SansinterligneCar"/>
    <w:uiPriority w:val="1"/>
    <w:qFormat/>
    <w:rsid w:val="00B34192"/>
    <w:pPr>
      <w:spacing w:before="0" w:after="0" w:line="240" w:lineRule="auto"/>
    </w:pPr>
    <w:rPr>
      <w:lang w:val="en-US"/>
    </w:rPr>
  </w:style>
  <w:style w:type="character" w:customStyle="1" w:styleId="SansinterligneCar">
    <w:name w:val="Sans interligne Car"/>
    <w:basedOn w:val="Policepardfaut"/>
    <w:link w:val="Sansinterligne"/>
    <w:uiPriority w:val="1"/>
    <w:rsid w:val="00B34192"/>
    <w:rPr>
      <w:sz w:val="20"/>
      <w:szCs w:val="20"/>
      <w:lang w:bidi="en-US"/>
    </w:rPr>
  </w:style>
  <w:style w:type="paragraph" w:styleId="Paragraphedeliste">
    <w:name w:val="List Paragraph"/>
    <w:aliases w:val="References,Numbered List Paragraph,Bullets,List Bullet Mary,List Paragraph (numbered (a)),Liste 1,ReferencesCxSpLast,List Paragraph1,Medium Grid 1 - Accent 21,List Paragraph nowy,Texte Général,Paragraphe  revu"/>
    <w:basedOn w:val="Normal"/>
    <w:link w:val="ParagraphedelisteCar"/>
    <w:uiPriority w:val="34"/>
    <w:qFormat/>
    <w:rsid w:val="00B34192"/>
    <w:pPr>
      <w:ind w:left="720"/>
      <w:contextualSpacing/>
    </w:pPr>
  </w:style>
  <w:style w:type="character" w:customStyle="1" w:styleId="ParagraphedelisteCar">
    <w:name w:val="Paragraphe de liste Car"/>
    <w:aliases w:val="References Car,Numbered List Paragraph Car,Bullets Car,List Bullet Mary Car,List Paragraph (numbered (a)) Car,Liste 1 Car,ReferencesCxSpLast Car,List Paragraph1 Car,Medium Grid 1 - Accent 21 Car,List Paragraph nowy Car"/>
    <w:link w:val="Paragraphedeliste"/>
    <w:uiPriority w:val="34"/>
    <w:locked/>
    <w:rsid w:val="00B34192"/>
    <w:rPr>
      <w:sz w:val="20"/>
      <w:szCs w:val="20"/>
      <w:lang w:val="fr-FR" w:bidi="en-US"/>
    </w:rPr>
  </w:style>
  <w:style w:type="character" w:customStyle="1" w:styleId="En-tteCar">
    <w:name w:val="En-tête Car"/>
    <w:basedOn w:val="Policepardfaut"/>
    <w:link w:val="En-tte"/>
    <w:uiPriority w:val="99"/>
    <w:rsid w:val="00B34192"/>
    <w:rPr>
      <w:rFonts w:ascii="Times New Roman" w:eastAsia="Times New Roman" w:hAnsi="Times New Roman" w:cs="Times New Roman"/>
      <w:sz w:val="20"/>
      <w:szCs w:val="20"/>
      <w:lang w:val="fr-FR" w:eastAsia="fr-FR"/>
    </w:rPr>
  </w:style>
  <w:style w:type="paragraph" w:styleId="En-tte">
    <w:name w:val="header"/>
    <w:basedOn w:val="Normal"/>
    <w:link w:val="En-tteCar"/>
    <w:uiPriority w:val="99"/>
    <w:rsid w:val="00B34192"/>
    <w:pPr>
      <w:tabs>
        <w:tab w:val="center" w:pos="4536"/>
        <w:tab w:val="right" w:pos="9072"/>
      </w:tabs>
      <w:spacing w:before="0" w:after="0" w:line="240" w:lineRule="auto"/>
    </w:pPr>
    <w:rPr>
      <w:rFonts w:ascii="Times New Roman" w:eastAsia="Times New Roman" w:hAnsi="Times New Roman" w:cs="Times New Roman"/>
      <w:lang w:eastAsia="fr-FR" w:bidi="ar-SA"/>
    </w:rPr>
  </w:style>
  <w:style w:type="character" w:customStyle="1" w:styleId="En-tteCar1">
    <w:name w:val="En-tête Car1"/>
    <w:basedOn w:val="Policepardfaut"/>
    <w:uiPriority w:val="99"/>
    <w:semiHidden/>
    <w:rsid w:val="00B34192"/>
    <w:rPr>
      <w:sz w:val="20"/>
      <w:szCs w:val="20"/>
      <w:lang w:val="fr-FR" w:bidi="en-US"/>
    </w:rPr>
  </w:style>
  <w:style w:type="character" w:customStyle="1" w:styleId="PieddepageCar">
    <w:name w:val="Pied de page Car"/>
    <w:basedOn w:val="Policepardfaut"/>
    <w:link w:val="Pieddepage"/>
    <w:uiPriority w:val="99"/>
    <w:rsid w:val="00B34192"/>
    <w:rPr>
      <w:sz w:val="20"/>
      <w:szCs w:val="20"/>
      <w:lang w:val="fr-FR" w:bidi="en-US"/>
    </w:rPr>
  </w:style>
  <w:style w:type="paragraph" w:styleId="Pieddepage">
    <w:name w:val="footer"/>
    <w:basedOn w:val="Normal"/>
    <w:link w:val="PieddepageCar"/>
    <w:uiPriority w:val="99"/>
    <w:unhideWhenUsed/>
    <w:rsid w:val="00B34192"/>
    <w:pPr>
      <w:tabs>
        <w:tab w:val="center" w:pos="4536"/>
        <w:tab w:val="right" w:pos="9072"/>
      </w:tabs>
      <w:spacing w:before="0" w:after="0" w:line="240" w:lineRule="auto"/>
    </w:pPr>
  </w:style>
  <w:style w:type="character" w:customStyle="1" w:styleId="PieddepageCar1">
    <w:name w:val="Pied de page Car1"/>
    <w:basedOn w:val="Policepardfaut"/>
    <w:uiPriority w:val="99"/>
    <w:semiHidden/>
    <w:rsid w:val="00B34192"/>
    <w:rPr>
      <w:sz w:val="20"/>
      <w:szCs w:val="20"/>
      <w:lang w:val="fr-FR" w:bidi="en-US"/>
    </w:rPr>
  </w:style>
  <w:style w:type="character" w:styleId="lev">
    <w:name w:val="Strong"/>
    <w:uiPriority w:val="22"/>
    <w:qFormat/>
    <w:rsid w:val="00B34192"/>
    <w:rPr>
      <w:b/>
      <w:bCs/>
    </w:rPr>
  </w:style>
  <w:style w:type="paragraph" w:customStyle="1" w:styleId="Default">
    <w:name w:val="Default"/>
    <w:rsid w:val="00B34192"/>
    <w:pPr>
      <w:autoSpaceDE w:val="0"/>
      <w:autoSpaceDN w:val="0"/>
      <w:adjustRightInd w:val="0"/>
      <w:spacing w:after="0" w:line="240" w:lineRule="auto"/>
    </w:pPr>
    <w:rPr>
      <w:rFonts w:ascii="Times New Roman" w:eastAsiaTheme="minorEastAsia" w:hAnsi="Times New Roman" w:cs="Times New Roman"/>
      <w:color w:val="000000"/>
      <w:sz w:val="24"/>
      <w:szCs w:val="24"/>
      <w:lang w:val="fr-FR" w:eastAsia="fr-FR"/>
    </w:rPr>
  </w:style>
  <w:style w:type="character" w:styleId="Lienhypertexte">
    <w:name w:val="Hyperlink"/>
    <w:basedOn w:val="Policepardfaut"/>
    <w:uiPriority w:val="99"/>
    <w:rsid w:val="00B34192"/>
    <w:rPr>
      <w:color w:val="0000FF"/>
      <w:u w:val="single"/>
    </w:rPr>
  </w:style>
  <w:style w:type="character" w:customStyle="1" w:styleId="TextedebullesCar">
    <w:name w:val="Texte de bulles Car"/>
    <w:basedOn w:val="Policepardfaut"/>
    <w:link w:val="Textedebulles"/>
    <w:uiPriority w:val="99"/>
    <w:semiHidden/>
    <w:rsid w:val="00B34192"/>
    <w:rPr>
      <w:rFonts w:ascii="Tahoma" w:hAnsi="Tahoma" w:cs="Tahoma"/>
      <w:sz w:val="16"/>
      <w:szCs w:val="16"/>
      <w:lang w:val="fr-FR" w:bidi="en-US"/>
    </w:rPr>
  </w:style>
  <w:style w:type="paragraph" w:styleId="Textedebulles">
    <w:name w:val="Balloon Text"/>
    <w:basedOn w:val="Normal"/>
    <w:link w:val="TextedebullesCar"/>
    <w:uiPriority w:val="99"/>
    <w:semiHidden/>
    <w:unhideWhenUsed/>
    <w:rsid w:val="00B34192"/>
    <w:pPr>
      <w:spacing w:before="0" w:after="0" w:line="240" w:lineRule="auto"/>
    </w:pPr>
    <w:rPr>
      <w:rFonts w:ascii="Tahoma" w:hAnsi="Tahoma" w:cs="Tahoma"/>
      <w:sz w:val="16"/>
      <w:szCs w:val="16"/>
    </w:rPr>
  </w:style>
  <w:style w:type="character" w:customStyle="1" w:styleId="TextedebullesCar1">
    <w:name w:val="Texte de bulles Car1"/>
    <w:basedOn w:val="Policepardfaut"/>
    <w:uiPriority w:val="99"/>
    <w:semiHidden/>
    <w:rsid w:val="00B34192"/>
    <w:rPr>
      <w:rFonts w:ascii="Segoe UI" w:hAnsi="Segoe UI" w:cs="Segoe UI"/>
      <w:sz w:val="18"/>
      <w:szCs w:val="18"/>
      <w:lang w:val="fr-FR" w:bidi="en-US"/>
    </w:rPr>
  </w:style>
  <w:style w:type="character" w:customStyle="1" w:styleId="CommentaireCar">
    <w:name w:val="Commentaire Car"/>
    <w:basedOn w:val="Policepardfaut"/>
    <w:link w:val="Commentaire"/>
    <w:uiPriority w:val="99"/>
    <w:semiHidden/>
    <w:rsid w:val="00B34192"/>
    <w:rPr>
      <w:sz w:val="20"/>
      <w:szCs w:val="20"/>
      <w:lang w:val="fr-FR" w:bidi="en-US"/>
    </w:rPr>
  </w:style>
  <w:style w:type="paragraph" w:styleId="Commentaire">
    <w:name w:val="annotation text"/>
    <w:basedOn w:val="Normal"/>
    <w:link w:val="CommentaireCar"/>
    <w:uiPriority w:val="99"/>
    <w:semiHidden/>
    <w:unhideWhenUsed/>
    <w:rsid w:val="00B34192"/>
    <w:pPr>
      <w:spacing w:line="240" w:lineRule="auto"/>
    </w:pPr>
  </w:style>
  <w:style w:type="character" w:customStyle="1" w:styleId="CommentaireCar1">
    <w:name w:val="Commentaire Car1"/>
    <w:basedOn w:val="Policepardfaut"/>
    <w:uiPriority w:val="99"/>
    <w:semiHidden/>
    <w:rsid w:val="00B34192"/>
    <w:rPr>
      <w:sz w:val="20"/>
      <w:szCs w:val="20"/>
      <w:lang w:val="fr-FR" w:bidi="en-US"/>
    </w:rPr>
  </w:style>
  <w:style w:type="character" w:customStyle="1" w:styleId="ObjetducommentaireCar">
    <w:name w:val="Objet du commentaire Car"/>
    <w:basedOn w:val="CommentaireCar"/>
    <w:link w:val="Objetducommentaire"/>
    <w:uiPriority w:val="99"/>
    <w:semiHidden/>
    <w:rsid w:val="00B34192"/>
    <w:rPr>
      <w:b/>
      <w:bCs/>
      <w:sz w:val="20"/>
      <w:szCs w:val="20"/>
      <w:lang w:val="fr-FR" w:bidi="en-US"/>
    </w:rPr>
  </w:style>
  <w:style w:type="paragraph" w:styleId="Objetducommentaire">
    <w:name w:val="annotation subject"/>
    <w:basedOn w:val="Commentaire"/>
    <w:next w:val="Commentaire"/>
    <w:link w:val="ObjetducommentaireCar"/>
    <w:uiPriority w:val="99"/>
    <w:semiHidden/>
    <w:unhideWhenUsed/>
    <w:rsid w:val="00B34192"/>
    <w:rPr>
      <w:b/>
      <w:bCs/>
    </w:rPr>
  </w:style>
  <w:style w:type="character" w:customStyle="1" w:styleId="ObjetducommentaireCar1">
    <w:name w:val="Objet du commentaire Car1"/>
    <w:basedOn w:val="CommentaireCar1"/>
    <w:uiPriority w:val="99"/>
    <w:semiHidden/>
    <w:rsid w:val="00B34192"/>
    <w:rPr>
      <w:b/>
      <w:bCs/>
      <w:sz w:val="20"/>
      <w:szCs w:val="20"/>
      <w:lang w:val="fr-FR"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432134">
      <w:bodyDiv w:val="1"/>
      <w:marLeft w:val="0"/>
      <w:marRight w:val="0"/>
      <w:marTop w:val="0"/>
      <w:marBottom w:val="0"/>
      <w:divBdr>
        <w:top w:val="none" w:sz="0" w:space="0" w:color="auto"/>
        <w:left w:val="none" w:sz="0" w:space="0" w:color="auto"/>
        <w:bottom w:val="none" w:sz="0" w:space="0" w:color="auto"/>
        <w:right w:val="none" w:sz="0" w:space="0" w:color="auto"/>
      </w:divBdr>
    </w:div>
    <w:div w:id="1529292464">
      <w:bodyDiv w:val="1"/>
      <w:marLeft w:val="0"/>
      <w:marRight w:val="0"/>
      <w:marTop w:val="0"/>
      <w:marBottom w:val="0"/>
      <w:divBdr>
        <w:top w:val="none" w:sz="0" w:space="0" w:color="auto"/>
        <w:left w:val="none" w:sz="0" w:space="0" w:color="auto"/>
        <w:bottom w:val="none" w:sz="0" w:space="0" w:color="auto"/>
        <w:right w:val="none" w:sz="0" w:space="0" w:color="auto"/>
      </w:divBdr>
    </w:div>
    <w:div w:id="197402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chart" Target="charts/chart2.xml"/></Relationships>
</file>

<file path=word/_rels/footer1.xml.rels><?xml version="1.0" encoding="UTF-8" standalone="yes"?>
<Relationships xmlns="http://schemas.openxmlformats.org/package/2006/relationships"><Relationship Id="rId2" Type="http://schemas.openxmlformats.org/officeDocument/2006/relationships/hyperlink" Target="http://www.isteebu.bi" TargetMode="External"/><Relationship Id="rId1" Type="http://schemas.openxmlformats.org/officeDocument/2006/relationships/hyperlink" Target="mailto:isteebu@isteebu.b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Classeur1%20janvier%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Classeur1%20janvier%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cuments\Classeur1%20janvier%20202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Graphiques!$D$5</c:f>
              <c:strCache>
                <c:ptCount val="1"/>
                <c:pt idx="0">
                  <c:v>Céréales</c:v>
                </c:pt>
              </c:strCache>
            </c:strRef>
          </c:tx>
          <c:spPr>
            <a:solidFill>
              <a:schemeClr val="accent1"/>
            </a:solidFill>
            <a:ln>
              <a:noFill/>
            </a:ln>
            <a:effectLst/>
          </c:spPr>
          <c:invertIfNegative val="0"/>
          <c:cat>
            <c:multiLvlStrRef>
              <c:f>Graphiques!$E$3:$J$4</c:f>
              <c:multiLvlStrCache>
                <c:ptCount val="6"/>
                <c:lvl>
                  <c:pt idx="0">
                    <c:v>août-22</c:v>
                  </c:pt>
                  <c:pt idx="1">
                    <c:v>sept-22</c:v>
                  </c:pt>
                  <c:pt idx="2">
                    <c:v>oct-22</c:v>
                  </c:pt>
                  <c:pt idx="3">
                    <c:v>nov-22</c:v>
                  </c:pt>
                  <c:pt idx="4">
                    <c:v>déc-22</c:v>
                  </c:pt>
                  <c:pt idx="5">
                    <c:v>janv-23</c:v>
                  </c:pt>
                </c:lvl>
                <c:lvl>
                  <c:pt idx="0">
                    <c:v>Indices</c:v>
                  </c:pt>
                </c:lvl>
              </c:multiLvlStrCache>
            </c:multiLvlStrRef>
          </c:cat>
          <c:val>
            <c:numRef>
              <c:f>Graphiques!$E$5:$J$5</c:f>
              <c:numCache>
                <c:formatCode>0.0</c:formatCode>
                <c:ptCount val="6"/>
                <c:pt idx="0">
                  <c:v>188.44713838206985</c:v>
                </c:pt>
                <c:pt idx="1">
                  <c:v>206.97756690508299</c:v>
                </c:pt>
                <c:pt idx="2">
                  <c:v>243.68578064315452</c:v>
                </c:pt>
                <c:pt idx="3">
                  <c:v>266.1779380830983</c:v>
                </c:pt>
                <c:pt idx="4">
                  <c:v>273.23560730305041</c:v>
                </c:pt>
                <c:pt idx="5">
                  <c:v>268.49499131667409</c:v>
                </c:pt>
              </c:numCache>
            </c:numRef>
          </c:val>
          <c:extLst>
            <c:ext xmlns:c16="http://schemas.microsoft.com/office/drawing/2014/chart" uri="{C3380CC4-5D6E-409C-BE32-E72D297353CC}">
              <c16:uniqueId val="{00000000-0167-49AC-A705-2A1553A7A0E9}"/>
            </c:ext>
          </c:extLst>
        </c:ser>
        <c:ser>
          <c:idx val="1"/>
          <c:order val="1"/>
          <c:tx>
            <c:strRef>
              <c:f>Graphiques!$D$6</c:f>
              <c:strCache>
                <c:ptCount val="1"/>
                <c:pt idx="0">
                  <c:v>Tubércules et racines</c:v>
                </c:pt>
              </c:strCache>
            </c:strRef>
          </c:tx>
          <c:spPr>
            <a:solidFill>
              <a:schemeClr val="accent2"/>
            </a:solidFill>
            <a:ln>
              <a:noFill/>
            </a:ln>
            <a:effectLst/>
          </c:spPr>
          <c:invertIfNegative val="0"/>
          <c:cat>
            <c:multiLvlStrRef>
              <c:f>Graphiques!$E$3:$J$4</c:f>
              <c:multiLvlStrCache>
                <c:ptCount val="6"/>
                <c:lvl>
                  <c:pt idx="0">
                    <c:v>août-22</c:v>
                  </c:pt>
                  <c:pt idx="1">
                    <c:v>sept-22</c:v>
                  </c:pt>
                  <c:pt idx="2">
                    <c:v>oct-22</c:v>
                  </c:pt>
                  <c:pt idx="3">
                    <c:v>nov-22</c:v>
                  </c:pt>
                  <c:pt idx="4">
                    <c:v>déc-22</c:v>
                  </c:pt>
                  <c:pt idx="5">
                    <c:v>janv-23</c:v>
                  </c:pt>
                </c:lvl>
                <c:lvl>
                  <c:pt idx="0">
                    <c:v>Indices</c:v>
                  </c:pt>
                </c:lvl>
              </c:multiLvlStrCache>
            </c:multiLvlStrRef>
          </c:cat>
          <c:val>
            <c:numRef>
              <c:f>Graphiques!$E$6:$J$6</c:f>
              <c:numCache>
                <c:formatCode>0.0</c:formatCode>
                <c:ptCount val="6"/>
                <c:pt idx="0">
                  <c:v>111.20685139728546</c:v>
                </c:pt>
                <c:pt idx="1">
                  <c:v>109.70396676728105</c:v>
                </c:pt>
                <c:pt idx="2">
                  <c:v>120.94482595239349</c:v>
                </c:pt>
                <c:pt idx="3">
                  <c:v>119.89810130885229</c:v>
                </c:pt>
                <c:pt idx="4">
                  <c:v>130.46076665019035</c:v>
                </c:pt>
                <c:pt idx="5">
                  <c:v>132.01537626203219</c:v>
                </c:pt>
              </c:numCache>
            </c:numRef>
          </c:val>
          <c:extLst>
            <c:ext xmlns:c16="http://schemas.microsoft.com/office/drawing/2014/chart" uri="{C3380CC4-5D6E-409C-BE32-E72D297353CC}">
              <c16:uniqueId val="{00000001-0167-49AC-A705-2A1553A7A0E9}"/>
            </c:ext>
          </c:extLst>
        </c:ser>
        <c:ser>
          <c:idx val="2"/>
          <c:order val="2"/>
          <c:tx>
            <c:strRef>
              <c:f>Graphiques!$D$7</c:f>
              <c:strCache>
                <c:ptCount val="1"/>
                <c:pt idx="0">
                  <c:v>Légumineuses</c:v>
                </c:pt>
              </c:strCache>
            </c:strRef>
          </c:tx>
          <c:spPr>
            <a:solidFill>
              <a:schemeClr val="accent3"/>
            </a:solidFill>
            <a:ln>
              <a:noFill/>
            </a:ln>
            <a:effectLst/>
          </c:spPr>
          <c:invertIfNegative val="0"/>
          <c:cat>
            <c:multiLvlStrRef>
              <c:f>Graphiques!$E$3:$J$4</c:f>
              <c:multiLvlStrCache>
                <c:ptCount val="6"/>
                <c:lvl>
                  <c:pt idx="0">
                    <c:v>août-22</c:v>
                  </c:pt>
                  <c:pt idx="1">
                    <c:v>sept-22</c:v>
                  </c:pt>
                  <c:pt idx="2">
                    <c:v>oct-22</c:v>
                  </c:pt>
                  <c:pt idx="3">
                    <c:v>nov-22</c:v>
                  </c:pt>
                  <c:pt idx="4">
                    <c:v>déc-22</c:v>
                  </c:pt>
                  <c:pt idx="5">
                    <c:v>janv-23</c:v>
                  </c:pt>
                </c:lvl>
                <c:lvl>
                  <c:pt idx="0">
                    <c:v>Indices</c:v>
                  </c:pt>
                </c:lvl>
              </c:multiLvlStrCache>
            </c:multiLvlStrRef>
          </c:cat>
          <c:val>
            <c:numRef>
              <c:f>Graphiques!$E$7:$J$7</c:f>
              <c:numCache>
                <c:formatCode>0.0</c:formatCode>
                <c:ptCount val="6"/>
                <c:pt idx="0">
                  <c:v>143.2407146879525</c:v>
                </c:pt>
                <c:pt idx="1">
                  <c:v>155.64363044841704</c:v>
                </c:pt>
                <c:pt idx="2">
                  <c:v>179.60071786243691</c:v>
                </c:pt>
                <c:pt idx="3">
                  <c:v>196.71443907479556</c:v>
                </c:pt>
                <c:pt idx="4">
                  <c:v>210.40143072976747</c:v>
                </c:pt>
                <c:pt idx="5">
                  <c:v>234.03923573292786</c:v>
                </c:pt>
              </c:numCache>
            </c:numRef>
          </c:val>
          <c:extLst>
            <c:ext xmlns:c16="http://schemas.microsoft.com/office/drawing/2014/chart" uri="{C3380CC4-5D6E-409C-BE32-E72D297353CC}">
              <c16:uniqueId val="{00000002-0167-49AC-A705-2A1553A7A0E9}"/>
            </c:ext>
          </c:extLst>
        </c:ser>
        <c:ser>
          <c:idx val="3"/>
          <c:order val="3"/>
          <c:tx>
            <c:strRef>
              <c:f>Graphiques!$D$8</c:f>
              <c:strCache>
                <c:ptCount val="1"/>
                <c:pt idx="0">
                  <c:v>Produits des plantes oléagineuses</c:v>
                </c:pt>
              </c:strCache>
            </c:strRef>
          </c:tx>
          <c:spPr>
            <a:solidFill>
              <a:schemeClr val="accent4"/>
            </a:solidFill>
            <a:ln>
              <a:noFill/>
            </a:ln>
            <a:effectLst/>
          </c:spPr>
          <c:invertIfNegative val="0"/>
          <c:cat>
            <c:multiLvlStrRef>
              <c:f>Graphiques!$E$3:$J$4</c:f>
              <c:multiLvlStrCache>
                <c:ptCount val="6"/>
                <c:lvl>
                  <c:pt idx="0">
                    <c:v>août-22</c:v>
                  </c:pt>
                  <c:pt idx="1">
                    <c:v>sept-22</c:v>
                  </c:pt>
                  <c:pt idx="2">
                    <c:v>oct-22</c:v>
                  </c:pt>
                  <c:pt idx="3">
                    <c:v>nov-22</c:v>
                  </c:pt>
                  <c:pt idx="4">
                    <c:v>déc-22</c:v>
                  </c:pt>
                  <c:pt idx="5">
                    <c:v>janv-23</c:v>
                  </c:pt>
                </c:lvl>
                <c:lvl>
                  <c:pt idx="0">
                    <c:v>Indices</c:v>
                  </c:pt>
                </c:lvl>
              </c:multiLvlStrCache>
            </c:multiLvlStrRef>
          </c:cat>
          <c:val>
            <c:numRef>
              <c:f>Graphiques!$E$8:$J$8</c:f>
              <c:numCache>
                <c:formatCode>0.0</c:formatCode>
                <c:ptCount val="6"/>
                <c:pt idx="0">
                  <c:v>206.5207666029473</c:v>
                </c:pt>
                <c:pt idx="1">
                  <c:v>212.52556491478265</c:v>
                </c:pt>
                <c:pt idx="2">
                  <c:v>224.95151625954986</c:v>
                </c:pt>
                <c:pt idx="3">
                  <c:v>244.18085616999164</c:v>
                </c:pt>
                <c:pt idx="4">
                  <c:v>231.41239496193043</c:v>
                </c:pt>
                <c:pt idx="5">
                  <c:v>266.99912844118944</c:v>
                </c:pt>
              </c:numCache>
            </c:numRef>
          </c:val>
          <c:extLst>
            <c:ext xmlns:c16="http://schemas.microsoft.com/office/drawing/2014/chart" uri="{C3380CC4-5D6E-409C-BE32-E72D297353CC}">
              <c16:uniqueId val="{00000003-0167-49AC-A705-2A1553A7A0E9}"/>
            </c:ext>
          </c:extLst>
        </c:ser>
        <c:ser>
          <c:idx val="4"/>
          <c:order val="4"/>
          <c:tx>
            <c:strRef>
              <c:f>Graphiques!$D$9</c:f>
              <c:strCache>
                <c:ptCount val="1"/>
                <c:pt idx="0">
                  <c:v>Cultures industrielles/exportations</c:v>
                </c:pt>
              </c:strCache>
            </c:strRef>
          </c:tx>
          <c:spPr>
            <a:solidFill>
              <a:schemeClr val="accent5"/>
            </a:solidFill>
            <a:ln>
              <a:noFill/>
            </a:ln>
            <a:effectLst/>
          </c:spPr>
          <c:invertIfNegative val="0"/>
          <c:cat>
            <c:multiLvlStrRef>
              <c:f>Graphiques!$E$3:$J$4</c:f>
              <c:multiLvlStrCache>
                <c:ptCount val="6"/>
                <c:lvl>
                  <c:pt idx="0">
                    <c:v>août-22</c:v>
                  </c:pt>
                  <c:pt idx="1">
                    <c:v>sept-22</c:v>
                  </c:pt>
                  <c:pt idx="2">
                    <c:v>oct-22</c:v>
                  </c:pt>
                  <c:pt idx="3">
                    <c:v>nov-22</c:v>
                  </c:pt>
                  <c:pt idx="4">
                    <c:v>déc-22</c:v>
                  </c:pt>
                  <c:pt idx="5">
                    <c:v>janv-23</c:v>
                  </c:pt>
                </c:lvl>
                <c:lvl>
                  <c:pt idx="0">
                    <c:v>Indices</c:v>
                  </c:pt>
                </c:lvl>
              </c:multiLvlStrCache>
            </c:multiLvlStrRef>
          </c:cat>
          <c:val>
            <c:numRef>
              <c:f>Graphiques!$E$9:$J$9</c:f>
              <c:numCache>
                <c:formatCode>0.0</c:formatCode>
                <c:ptCount val="6"/>
                <c:pt idx="0">
                  <c:v>174.56168319417802</c:v>
                </c:pt>
                <c:pt idx="1">
                  <c:v>174.56168319417802</c:v>
                </c:pt>
                <c:pt idx="2">
                  <c:v>174.56168319417802</c:v>
                </c:pt>
                <c:pt idx="3">
                  <c:v>174.56168319417802</c:v>
                </c:pt>
                <c:pt idx="4">
                  <c:v>174.56168319417802</c:v>
                </c:pt>
                <c:pt idx="5">
                  <c:v>174.56168319417802</c:v>
                </c:pt>
              </c:numCache>
            </c:numRef>
          </c:val>
          <c:extLst>
            <c:ext xmlns:c16="http://schemas.microsoft.com/office/drawing/2014/chart" uri="{C3380CC4-5D6E-409C-BE32-E72D297353CC}">
              <c16:uniqueId val="{00000004-0167-49AC-A705-2A1553A7A0E9}"/>
            </c:ext>
          </c:extLst>
        </c:ser>
        <c:dLbls>
          <c:showLegendKey val="0"/>
          <c:showVal val="0"/>
          <c:showCatName val="0"/>
          <c:showSerName val="0"/>
          <c:showPercent val="0"/>
          <c:showBubbleSize val="0"/>
        </c:dLbls>
        <c:gapWidth val="219"/>
        <c:overlap val="-27"/>
        <c:axId val="779645104"/>
        <c:axId val="779641776"/>
      </c:barChart>
      <c:catAx>
        <c:axId val="77964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9641776"/>
        <c:crosses val="autoZero"/>
        <c:auto val="1"/>
        <c:lblAlgn val="ctr"/>
        <c:lblOffset val="100"/>
        <c:noMultiLvlLbl val="0"/>
      </c:catAx>
      <c:valAx>
        <c:axId val="7796417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964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Graphiques!$D$26</c:f>
              <c:strCache>
                <c:ptCount val="1"/>
                <c:pt idx="0">
                  <c:v>Légumes frais</c:v>
                </c:pt>
              </c:strCache>
            </c:strRef>
          </c:tx>
          <c:spPr>
            <a:solidFill>
              <a:schemeClr val="accent1"/>
            </a:solidFill>
            <a:ln>
              <a:noFill/>
            </a:ln>
            <a:effectLst/>
          </c:spPr>
          <c:invertIfNegative val="0"/>
          <c:cat>
            <c:multiLvlStrRef>
              <c:f>Graphiques!$E$24:$J$25</c:f>
              <c:multiLvlStrCache>
                <c:ptCount val="6"/>
                <c:lvl>
                  <c:pt idx="0">
                    <c:v>août-22</c:v>
                  </c:pt>
                  <c:pt idx="1">
                    <c:v>sept-22</c:v>
                  </c:pt>
                  <c:pt idx="2">
                    <c:v>oct-22</c:v>
                  </c:pt>
                  <c:pt idx="3">
                    <c:v>nov-22</c:v>
                  </c:pt>
                  <c:pt idx="4">
                    <c:v>déc-22</c:v>
                  </c:pt>
                  <c:pt idx="5">
                    <c:v>janv-23</c:v>
                  </c:pt>
                </c:lvl>
                <c:lvl>
                  <c:pt idx="0">
                    <c:v>Indices</c:v>
                  </c:pt>
                </c:lvl>
              </c:multiLvlStrCache>
            </c:multiLvlStrRef>
          </c:cat>
          <c:val>
            <c:numRef>
              <c:f>Graphiques!$E$26:$J$26</c:f>
              <c:numCache>
                <c:formatCode>0.0</c:formatCode>
                <c:ptCount val="6"/>
                <c:pt idx="0">
                  <c:v>144.91424392922519</c:v>
                </c:pt>
                <c:pt idx="1">
                  <c:v>144.63938721051306</c:v>
                </c:pt>
                <c:pt idx="2">
                  <c:v>158.4574349136677</c:v>
                </c:pt>
                <c:pt idx="3">
                  <c:v>135.78767203206198</c:v>
                </c:pt>
                <c:pt idx="4">
                  <c:v>139.82582403158548</c:v>
                </c:pt>
                <c:pt idx="5">
                  <c:v>134.3905689184042</c:v>
                </c:pt>
              </c:numCache>
            </c:numRef>
          </c:val>
          <c:extLst>
            <c:ext xmlns:c16="http://schemas.microsoft.com/office/drawing/2014/chart" uri="{C3380CC4-5D6E-409C-BE32-E72D297353CC}">
              <c16:uniqueId val="{00000000-9A5C-497D-95F2-9DE3BC511C02}"/>
            </c:ext>
          </c:extLst>
        </c:ser>
        <c:ser>
          <c:idx val="1"/>
          <c:order val="1"/>
          <c:tx>
            <c:strRef>
              <c:f>Graphiques!$D$27</c:f>
              <c:strCache>
                <c:ptCount val="1"/>
                <c:pt idx="0">
                  <c:v>Banane</c:v>
                </c:pt>
              </c:strCache>
            </c:strRef>
          </c:tx>
          <c:spPr>
            <a:solidFill>
              <a:schemeClr val="accent2"/>
            </a:solidFill>
            <a:ln>
              <a:noFill/>
            </a:ln>
            <a:effectLst/>
          </c:spPr>
          <c:invertIfNegative val="0"/>
          <c:cat>
            <c:multiLvlStrRef>
              <c:f>Graphiques!$E$24:$J$25</c:f>
              <c:multiLvlStrCache>
                <c:ptCount val="6"/>
                <c:lvl>
                  <c:pt idx="0">
                    <c:v>août-22</c:v>
                  </c:pt>
                  <c:pt idx="1">
                    <c:v>sept-22</c:v>
                  </c:pt>
                  <c:pt idx="2">
                    <c:v>oct-22</c:v>
                  </c:pt>
                  <c:pt idx="3">
                    <c:v>nov-22</c:v>
                  </c:pt>
                  <c:pt idx="4">
                    <c:v>déc-22</c:v>
                  </c:pt>
                  <c:pt idx="5">
                    <c:v>janv-23</c:v>
                  </c:pt>
                </c:lvl>
                <c:lvl>
                  <c:pt idx="0">
                    <c:v>Indices</c:v>
                  </c:pt>
                </c:lvl>
              </c:multiLvlStrCache>
            </c:multiLvlStrRef>
          </c:cat>
          <c:val>
            <c:numRef>
              <c:f>Graphiques!$E$27:$J$27</c:f>
              <c:numCache>
                <c:formatCode>0.0</c:formatCode>
                <c:ptCount val="6"/>
                <c:pt idx="0">
                  <c:v>130.21268454817513</c:v>
                </c:pt>
                <c:pt idx="1">
                  <c:v>124.79247416948881</c:v>
                </c:pt>
                <c:pt idx="2">
                  <c:v>125.48680102911959</c:v>
                </c:pt>
                <c:pt idx="3">
                  <c:v>128.33203616611323</c:v>
                </c:pt>
                <c:pt idx="4">
                  <c:v>138.0126568070782</c:v>
                </c:pt>
                <c:pt idx="5">
                  <c:v>143.02579746542025</c:v>
                </c:pt>
              </c:numCache>
            </c:numRef>
          </c:val>
          <c:extLst>
            <c:ext xmlns:c16="http://schemas.microsoft.com/office/drawing/2014/chart" uri="{C3380CC4-5D6E-409C-BE32-E72D297353CC}">
              <c16:uniqueId val="{00000001-9A5C-497D-95F2-9DE3BC511C02}"/>
            </c:ext>
          </c:extLst>
        </c:ser>
        <c:ser>
          <c:idx val="2"/>
          <c:order val="2"/>
          <c:tx>
            <c:strRef>
              <c:f>Graphiques!$D$28</c:f>
              <c:strCache>
                <c:ptCount val="1"/>
                <c:pt idx="0">
                  <c:v>Fruits frais</c:v>
                </c:pt>
              </c:strCache>
            </c:strRef>
          </c:tx>
          <c:spPr>
            <a:solidFill>
              <a:schemeClr val="accent3"/>
            </a:solidFill>
            <a:ln>
              <a:noFill/>
            </a:ln>
            <a:effectLst/>
          </c:spPr>
          <c:invertIfNegative val="0"/>
          <c:cat>
            <c:multiLvlStrRef>
              <c:f>Graphiques!$E$24:$J$25</c:f>
              <c:multiLvlStrCache>
                <c:ptCount val="6"/>
                <c:lvl>
                  <c:pt idx="0">
                    <c:v>août-22</c:v>
                  </c:pt>
                  <c:pt idx="1">
                    <c:v>sept-22</c:v>
                  </c:pt>
                  <c:pt idx="2">
                    <c:v>oct-22</c:v>
                  </c:pt>
                  <c:pt idx="3">
                    <c:v>nov-22</c:v>
                  </c:pt>
                  <c:pt idx="4">
                    <c:v>déc-22</c:v>
                  </c:pt>
                  <c:pt idx="5">
                    <c:v>janv-23</c:v>
                  </c:pt>
                </c:lvl>
                <c:lvl>
                  <c:pt idx="0">
                    <c:v>Indices</c:v>
                  </c:pt>
                </c:lvl>
              </c:multiLvlStrCache>
            </c:multiLvlStrRef>
          </c:cat>
          <c:val>
            <c:numRef>
              <c:f>Graphiques!$E$28:$J$28</c:f>
              <c:numCache>
                <c:formatCode>0.0</c:formatCode>
                <c:ptCount val="6"/>
                <c:pt idx="0">
                  <c:v>154.51194007656758</c:v>
                </c:pt>
                <c:pt idx="1">
                  <c:v>159.13784454080306</c:v>
                </c:pt>
                <c:pt idx="2">
                  <c:v>165.77926166348624</c:v>
                </c:pt>
                <c:pt idx="3">
                  <c:v>189.33625524825575</c:v>
                </c:pt>
                <c:pt idx="4">
                  <c:v>199.31308296905075</c:v>
                </c:pt>
                <c:pt idx="5">
                  <c:v>179.06891357804309</c:v>
                </c:pt>
              </c:numCache>
            </c:numRef>
          </c:val>
          <c:extLst>
            <c:ext xmlns:c16="http://schemas.microsoft.com/office/drawing/2014/chart" uri="{C3380CC4-5D6E-409C-BE32-E72D297353CC}">
              <c16:uniqueId val="{00000002-9A5C-497D-95F2-9DE3BC511C02}"/>
            </c:ext>
          </c:extLst>
        </c:ser>
        <c:ser>
          <c:idx val="3"/>
          <c:order val="3"/>
          <c:tx>
            <c:strRef>
              <c:f>Graphiques!$D$29</c:f>
              <c:strCache>
                <c:ptCount val="1"/>
                <c:pt idx="0">
                  <c:v>Produits de la sylviculture et de l’exploitation forestière</c:v>
                </c:pt>
              </c:strCache>
            </c:strRef>
          </c:tx>
          <c:spPr>
            <a:solidFill>
              <a:schemeClr val="accent4"/>
            </a:solidFill>
            <a:ln>
              <a:noFill/>
            </a:ln>
            <a:effectLst/>
          </c:spPr>
          <c:invertIfNegative val="0"/>
          <c:cat>
            <c:multiLvlStrRef>
              <c:f>Graphiques!$E$24:$J$25</c:f>
              <c:multiLvlStrCache>
                <c:ptCount val="6"/>
                <c:lvl>
                  <c:pt idx="0">
                    <c:v>août-22</c:v>
                  </c:pt>
                  <c:pt idx="1">
                    <c:v>sept-22</c:v>
                  </c:pt>
                  <c:pt idx="2">
                    <c:v>oct-22</c:v>
                  </c:pt>
                  <c:pt idx="3">
                    <c:v>nov-22</c:v>
                  </c:pt>
                  <c:pt idx="4">
                    <c:v>déc-22</c:v>
                  </c:pt>
                  <c:pt idx="5">
                    <c:v>janv-23</c:v>
                  </c:pt>
                </c:lvl>
                <c:lvl>
                  <c:pt idx="0">
                    <c:v>Indices</c:v>
                  </c:pt>
                </c:lvl>
              </c:multiLvlStrCache>
            </c:multiLvlStrRef>
          </c:cat>
          <c:val>
            <c:numRef>
              <c:f>Graphiques!$E$29:$J$29</c:f>
              <c:numCache>
                <c:formatCode>0.0</c:formatCode>
                <c:ptCount val="6"/>
                <c:pt idx="0">
                  <c:v>84.315024542054005</c:v>
                </c:pt>
                <c:pt idx="1">
                  <c:v>84.685041015575521</c:v>
                </c:pt>
                <c:pt idx="2">
                  <c:v>85.306722102364517</c:v>
                </c:pt>
                <c:pt idx="3">
                  <c:v>88.145869720336862</c:v>
                </c:pt>
                <c:pt idx="4">
                  <c:v>88.583265726560484</c:v>
                </c:pt>
                <c:pt idx="5">
                  <c:v>82.250195171672047</c:v>
                </c:pt>
              </c:numCache>
            </c:numRef>
          </c:val>
          <c:extLst>
            <c:ext xmlns:c16="http://schemas.microsoft.com/office/drawing/2014/chart" uri="{C3380CC4-5D6E-409C-BE32-E72D297353CC}">
              <c16:uniqueId val="{00000003-9A5C-497D-95F2-9DE3BC511C02}"/>
            </c:ext>
          </c:extLst>
        </c:ser>
        <c:ser>
          <c:idx val="4"/>
          <c:order val="4"/>
          <c:tx>
            <c:strRef>
              <c:f>Graphiques!$D$30</c:f>
              <c:strCache>
                <c:ptCount val="1"/>
                <c:pt idx="0">
                  <c:v>Produits de la pêche (coutumière et artisanale)</c:v>
                </c:pt>
              </c:strCache>
            </c:strRef>
          </c:tx>
          <c:spPr>
            <a:solidFill>
              <a:schemeClr val="accent5"/>
            </a:solidFill>
            <a:ln>
              <a:noFill/>
            </a:ln>
            <a:effectLst/>
          </c:spPr>
          <c:invertIfNegative val="0"/>
          <c:cat>
            <c:multiLvlStrRef>
              <c:f>Graphiques!$E$24:$J$25</c:f>
              <c:multiLvlStrCache>
                <c:ptCount val="6"/>
                <c:lvl>
                  <c:pt idx="0">
                    <c:v>août-22</c:v>
                  </c:pt>
                  <c:pt idx="1">
                    <c:v>sept-22</c:v>
                  </c:pt>
                  <c:pt idx="2">
                    <c:v>oct-22</c:v>
                  </c:pt>
                  <c:pt idx="3">
                    <c:v>nov-22</c:v>
                  </c:pt>
                  <c:pt idx="4">
                    <c:v>déc-22</c:v>
                  </c:pt>
                  <c:pt idx="5">
                    <c:v>janv-23</c:v>
                  </c:pt>
                </c:lvl>
                <c:lvl>
                  <c:pt idx="0">
                    <c:v>Indices</c:v>
                  </c:pt>
                </c:lvl>
              </c:multiLvlStrCache>
            </c:multiLvlStrRef>
          </c:cat>
          <c:val>
            <c:numRef>
              <c:f>Graphiques!$E$30:$J$30</c:f>
              <c:numCache>
                <c:formatCode>0.0</c:formatCode>
                <c:ptCount val="6"/>
                <c:pt idx="0">
                  <c:v>237.86672343365549</c:v>
                </c:pt>
                <c:pt idx="1">
                  <c:v>304.77441825484004</c:v>
                </c:pt>
                <c:pt idx="2">
                  <c:v>213.70308908912222</c:v>
                </c:pt>
                <c:pt idx="3">
                  <c:v>204.7007505364771</c:v>
                </c:pt>
                <c:pt idx="4">
                  <c:v>203.91199309401338</c:v>
                </c:pt>
                <c:pt idx="5">
                  <c:v>206.4663433887178</c:v>
                </c:pt>
              </c:numCache>
            </c:numRef>
          </c:val>
          <c:extLst>
            <c:ext xmlns:c16="http://schemas.microsoft.com/office/drawing/2014/chart" uri="{C3380CC4-5D6E-409C-BE32-E72D297353CC}">
              <c16:uniqueId val="{00000004-9A5C-497D-95F2-9DE3BC511C02}"/>
            </c:ext>
          </c:extLst>
        </c:ser>
        <c:dLbls>
          <c:showLegendKey val="0"/>
          <c:showVal val="0"/>
          <c:showCatName val="0"/>
          <c:showSerName val="0"/>
          <c:showPercent val="0"/>
          <c:showBubbleSize val="0"/>
        </c:dLbls>
        <c:gapWidth val="219"/>
        <c:overlap val="-27"/>
        <c:axId val="1123230207"/>
        <c:axId val="1123235615"/>
      </c:barChart>
      <c:catAx>
        <c:axId val="1123230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235615"/>
        <c:crosses val="autoZero"/>
        <c:auto val="1"/>
        <c:lblAlgn val="ctr"/>
        <c:lblOffset val="100"/>
        <c:noMultiLvlLbl val="0"/>
      </c:catAx>
      <c:valAx>
        <c:axId val="112323561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230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Graphiques!$D$49</c:f>
              <c:strCache>
                <c:ptCount val="1"/>
                <c:pt idx="0">
                  <c:v>Bovins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Graphiques!$E$47:$J$48</c:f>
              <c:multiLvlStrCache>
                <c:ptCount val="6"/>
                <c:lvl>
                  <c:pt idx="0">
                    <c:v>août-22</c:v>
                  </c:pt>
                  <c:pt idx="1">
                    <c:v>sept-22</c:v>
                  </c:pt>
                  <c:pt idx="2">
                    <c:v>oct-22</c:v>
                  </c:pt>
                  <c:pt idx="3">
                    <c:v>nov-22</c:v>
                  </c:pt>
                  <c:pt idx="4">
                    <c:v>déc-22</c:v>
                  </c:pt>
                  <c:pt idx="5">
                    <c:v>janv-23</c:v>
                  </c:pt>
                </c:lvl>
                <c:lvl>
                  <c:pt idx="0">
                    <c:v>Indices</c:v>
                  </c:pt>
                </c:lvl>
              </c:multiLvlStrCache>
            </c:multiLvlStrRef>
          </c:cat>
          <c:val>
            <c:numRef>
              <c:f>Graphiques!$E$49:$J$49</c:f>
              <c:numCache>
                <c:formatCode>0.0</c:formatCode>
                <c:ptCount val="6"/>
                <c:pt idx="0">
                  <c:v>171.15720226821807</c:v>
                </c:pt>
                <c:pt idx="1">
                  <c:v>169.73787047092483</c:v>
                </c:pt>
                <c:pt idx="2">
                  <c:v>164.43890810266046</c:v>
                </c:pt>
                <c:pt idx="3">
                  <c:v>166.70517067433471</c:v>
                </c:pt>
                <c:pt idx="4">
                  <c:v>175.72240773241077</c:v>
                </c:pt>
                <c:pt idx="5">
                  <c:v>168.55921084338851</c:v>
                </c:pt>
              </c:numCache>
            </c:numRef>
          </c:val>
          <c:smooth val="0"/>
          <c:extLst>
            <c:ext xmlns:c16="http://schemas.microsoft.com/office/drawing/2014/chart" uri="{C3380CC4-5D6E-409C-BE32-E72D297353CC}">
              <c16:uniqueId val="{00000000-FC18-47DA-8621-72CBA4DD74E3}"/>
            </c:ext>
          </c:extLst>
        </c:ser>
        <c:ser>
          <c:idx val="1"/>
          <c:order val="1"/>
          <c:tx>
            <c:strRef>
              <c:f>Graphiques!$D$50</c:f>
              <c:strCache>
                <c:ptCount val="1"/>
                <c:pt idx="0">
                  <c:v>Ovins caprins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Graphiques!$E$47:$J$48</c:f>
              <c:multiLvlStrCache>
                <c:ptCount val="6"/>
                <c:lvl>
                  <c:pt idx="0">
                    <c:v>août-22</c:v>
                  </c:pt>
                  <c:pt idx="1">
                    <c:v>sept-22</c:v>
                  </c:pt>
                  <c:pt idx="2">
                    <c:v>oct-22</c:v>
                  </c:pt>
                  <c:pt idx="3">
                    <c:v>nov-22</c:v>
                  </c:pt>
                  <c:pt idx="4">
                    <c:v>déc-22</c:v>
                  </c:pt>
                  <c:pt idx="5">
                    <c:v>janv-23</c:v>
                  </c:pt>
                </c:lvl>
                <c:lvl>
                  <c:pt idx="0">
                    <c:v>Indices</c:v>
                  </c:pt>
                </c:lvl>
              </c:multiLvlStrCache>
            </c:multiLvlStrRef>
          </c:cat>
          <c:val>
            <c:numRef>
              <c:f>Graphiques!$E$50:$J$50</c:f>
              <c:numCache>
                <c:formatCode>0.0</c:formatCode>
                <c:ptCount val="6"/>
                <c:pt idx="0">
                  <c:v>157.68320410454351</c:v>
                </c:pt>
                <c:pt idx="1">
                  <c:v>155.31962250839197</c:v>
                </c:pt>
                <c:pt idx="2">
                  <c:v>155.64091854706624</c:v>
                </c:pt>
                <c:pt idx="3">
                  <c:v>156.82427024267736</c:v>
                </c:pt>
                <c:pt idx="4">
                  <c:v>162.47933946123405</c:v>
                </c:pt>
                <c:pt idx="5">
                  <c:v>160.62136930147835</c:v>
                </c:pt>
              </c:numCache>
            </c:numRef>
          </c:val>
          <c:smooth val="0"/>
          <c:extLst>
            <c:ext xmlns:c16="http://schemas.microsoft.com/office/drawing/2014/chart" uri="{C3380CC4-5D6E-409C-BE32-E72D297353CC}">
              <c16:uniqueId val="{00000001-FC18-47DA-8621-72CBA4DD74E3}"/>
            </c:ext>
          </c:extLst>
        </c:ser>
        <c:ser>
          <c:idx val="2"/>
          <c:order val="2"/>
          <c:tx>
            <c:strRef>
              <c:f>Graphiques!$D$51</c:f>
              <c:strCache>
                <c:ptCount val="1"/>
                <c:pt idx="0">
                  <c:v>Porcins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Graphiques!$E$47:$J$48</c:f>
              <c:multiLvlStrCache>
                <c:ptCount val="6"/>
                <c:lvl>
                  <c:pt idx="0">
                    <c:v>août-22</c:v>
                  </c:pt>
                  <c:pt idx="1">
                    <c:v>sept-22</c:v>
                  </c:pt>
                  <c:pt idx="2">
                    <c:v>oct-22</c:v>
                  </c:pt>
                  <c:pt idx="3">
                    <c:v>nov-22</c:v>
                  </c:pt>
                  <c:pt idx="4">
                    <c:v>déc-22</c:v>
                  </c:pt>
                  <c:pt idx="5">
                    <c:v>janv-23</c:v>
                  </c:pt>
                </c:lvl>
                <c:lvl>
                  <c:pt idx="0">
                    <c:v>Indices</c:v>
                  </c:pt>
                </c:lvl>
              </c:multiLvlStrCache>
            </c:multiLvlStrRef>
          </c:cat>
          <c:val>
            <c:numRef>
              <c:f>Graphiques!$E$51:$J$51</c:f>
              <c:numCache>
                <c:formatCode>0.0</c:formatCode>
                <c:ptCount val="6"/>
                <c:pt idx="0">
                  <c:v>160.59089803572351</c:v>
                </c:pt>
                <c:pt idx="1">
                  <c:v>159.62316442335069</c:v>
                </c:pt>
                <c:pt idx="2">
                  <c:v>160.20254285391997</c:v>
                </c:pt>
                <c:pt idx="3">
                  <c:v>164.53643333940818</c:v>
                </c:pt>
                <c:pt idx="4">
                  <c:v>177.73511864398927</c:v>
                </c:pt>
                <c:pt idx="5">
                  <c:v>169.28135375429579</c:v>
                </c:pt>
              </c:numCache>
            </c:numRef>
          </c:val>
          <c:smooth val="0"/>
          <c:extLst>
            <c:ext xmlns:c16="http://schemas.microsoft.com/office/drawing/2014/chart" uri="{C3380CC4-5D6E-409C-BE32-E72D297353CC}">
              <c16:uniqueId val="{00000002-FC18-47DA-8621-72CBA4DD74E3}"/>
            </c:ext>
          </c:extLst>
        </c:ser>
        <c:ser>
          <c:idx val="3"/>
          <c:order val="3"/>
          <c:tx>
            <c:strRef>
              <c:f>Graphiques!$D$52</c:f>
              <c:strCache>
                <c:ptCount val="1"/>
                <c:pt idx="0">
                  <c:v>Autres produits élevages et volailles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Graphiques!$E$47:$J$48</c:f>
              <c:multiLvlStrCache>
                <c:ptCount val="6"/>
                <c:lvl>
                  <c:pt idx="0">
                    <c:v>août-22</c:v>
                  </c:pt>
                  <c:pt idx="1">
                    <c:v>sept-22</c:v>
                  </c:pt>
                  <c:pt idx="2">
                    <c:v>oct-22</c:v>
                  </c:pt>
                  <c:pt idx="3">
                    <c:v>nov-22</c:v>
                  </c:pt>
                  <c:pt idx="4">
                    <c:v>déc-22</c:v>
                  </c:pt>
                  <c:pt idx="5">
                    <c:v>janv-23</c:v>
                  </c:pt>
                </c:lvl>
                <c:lvl>
                  <c:pt idx="0">
                    <c:v>Indices</c:v>
                  </c:pt>
                </c:lvl>
              </c:multiLvlStrCache>
            </c:multiLvlStrRef>
          </c:cat>
          <c:val>
            <c:numRef>
              <c:f>Graphiques!$E$52:$J$52</c:f>
              <c:numCache>
                <c:formatCode>0.0</c:formatCode>
                <c:ptCount val="6"/>
                <c:pt idx="0">
                  <c:v>166.46396318401048</c:v>
                </c:pt>
                <c:pt idx="1">
                  <c:v>167.58337887360278</c:v>
                </c:pt>
                <c:pt idx="2">
                  <c:v>172.12766776177887</c:v>
                </c:pt>
                <c:pt idx="3">
                  <c:v>171.33939078368479</c:v>
                </c:pt>
                <c:pt idx="4">
                  <c:v>174.92018006037222</c:v>
                </c:pt>
                <c:pt idx="5">
                  <c:v>174.48497907504947</c:v>
                </c:pt>
              </c:numCache>
            </c:numRef>
          </c:val>
          <c:smooth val="0"/>
          <c:extLst>
            <c:ext xmlns:c16="http://schemas.microsoft.com/office/drawing/2014/chart" uri="{C3380CC4-5D6E-409C-BE32-E72D297353CC}">
              <c16:uniqueId val="{00000003-FC18-47DA-8621-72CBA4DD74E3}"/>
            </c:ext>
          </c:extLst>
        </c:ser>
        <c:ser>
          <c:idx val="4"/>
          <c:order val="4"/>
          <c:tx>
            <c:strRef>
              <c:f>Graphiques!$D$53</c:f>
              <c:strCache>
                <c:ptCount val="1"/>
                <c:pt idx="0">
                  <c:v>Sous produits de l'élevage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Graphiques!$E$47:$J$48</c:f>
              <c:multiLvlStrCache>
                <c:ptCount val="6"/>
                <c:lvl>
                  <c:pt idx="0">
                    <c:v>août-22</c:v>
                  </c:pt>
                  <c:pt idx="1">
                    <c:v>sept-22</c:v>
                  </c:pt>
                  <c:pt idx="2">
                    <c:v>oct-22</c:v>
                  </c:pt>
                  <c:pt idx="3">
                    <c:v>nov-22</c:v>
                  </c:pt>
                  <c:pt idx="4">
                    <c:v>déc-22</c:v>
                  </c:pt>
                  <c:pt idx="5">
                    <c:v>janv-23</c:v>
                  </c:pt>
                </c:lvl>
                <c:lvl>
                  <c:pt idx="0">
                    <c:v>Indices</c:v>
                  </c:pt>
                </c:lvl>
              </c:multiLvlStrCache>
            </c:multiLvlStrRef>
          </c:cat>
          <c:val>
            <c:numRef>
              <c:f>Graphiques!$E$53:$J$53</c:f>
              <c:numCache>
                <c:formatCode>0.0</c:formatCode>
                <c:ptCount val="6"/>
                <c:pt idx="0">
                  <c:v>138.20172032263574</c:v>
                </c:pt>
                <c:pt idx="1">
                  <c:v>138.40702348021929</c:v>
                </c:pt>
                <c:pt idx="2">
                  <c:v>139.7356998706627</c:v>
                </c:pt>
                <c:pt idx="3">
                  <c:v>139.12938301429554</c:v>
                </c:pt>
                <c:pt idx="4">
                  <c:v>141.88011058556816</c:v>
                </c:pt>
                <c:pt idx="5">
                  <c:v>142.72280995803766</c:v>
                </c:pt>
              </c:numCache>
            </c:numRef>
          </c:val>
          <c:smooth val="0"/>
          <c:extLst>
            <c:ext xmlns:c16="http://schemas.microsoft.com/office/drawing/2014/chart" uri="{C3380CC4-5D6E-409C-BE32-E72D297353CC}">
              <c16:uniqueId val="{00000004-FC18-47DA-8621-72CBA4DD74E3}"/>
            </c:ext>
          </c:extLst>
        </c:ser>
        <c:dLbls>
          <c:showLegendKey val="0"/>
          <c:showVal val="0"/>
          <c:showCatName val="0"/>
          <c:showSerName val="0"/>
          <c:showPercent val="0"/>
          <c:showBubbleSize val="0"/>
        </c:dLbls>
        <c:marker val="1"/>
        <c:smooth val="0"/>
        <c:axId val="932031632"/>
        <c:axId val="932030384"/>
      </c:lineChart>
      <c:catAx>
        <c:axId val="93203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030384"/>
        <c:crosses val="autoZero"/>
        <c:auto val="1"/>
        <c:lblAlgn val="ctr"/>
        <c:lblOffset val="100"/>
        <c:noMultiLvlLbl val="0"/>
      </c:catAx>
      <c:valAx>
        <c:axId val="9320303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03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12</Pages>
  <Words>2331</Words>
  <Characters>13293</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2023-02-11T08:43:00Z</dcterms:created>
  <dcterms:modified xsi:type="dcterms:W3CDTF">2023-02-13T06:32:00Z</dcterms:modified>
</cp:coreProperties>
</file>