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ahoma" w:hAnsi="Tahoma" w:cs="Tahoma"/>
          <w:sz w:val="28"/>
          <w:szCs w:val="28"/>
        </w:rPr>
        <w:id w:val="-917476006"/>
        <w:docPartObj>
          <w:docPartGallery w:val="Cover Pages"/>
          <w:docPartUnique/>
        </w:docPartObj>
      </w:sdtPr>
      <w:sdtEndPr>
        <w:rPr>
          <w:rFonts w:ascii="Times New Roman" w:hAnsi="Times New Roman" w:cs="Times New Roman"/>
          <w:b/>
          <w:bCs/>
          <w:sz w:val="24"/>
          <w:szCs w:val="24"/>
        </w:rPr>
      </w:sdtEndPr>
      <w:sdtContent>
        <w:p w:rsidR="008C547A" w:rsidRPr="00C73671" w:rsidRDefault="008C547A" w:rsidP="008C547A">
          <w:pPr>
            <w:tabs>
              <w:tab w:val="left" w:pos="2694"/>
            </w:tabs>
            <w:spacing w:after="0" w:line="240" w:lineRule="auto"/>
            <w:jc w:val="center"/>
            <w:rPr>
              <w:rFonts w:ascii="Times New Roman" w:hAnsi="Times New Roman" w:cs="Times New Roman"/>
              <w:b/>
              <w:caps/>
              <w:noProof/>
              <w:sz w:val="28"/>
              <w:szCs w:val="28"/>
              <w:lang w:val="rw-RW" w:eastAsia="rw-RW"/>
            </w:rPr>
          </w:pPr>
          <w:r w:rsidRPr="00C73671">
            <w:rPr>
              <w:rFonts w:ascii="Times New Roman" w:hAnsi="Times New Roman" w:cs="Times New Roman"/>
              <w:b/>
              <w:caps/>
              <w:noProof/>
              <w:sz w:val="28"/>
              <w:szCs w:val="28"/>
              <w:lang w:val="rw-RW" w:eastAsia="rw-RW"/>
            </w:rPr>
            <w:t xml:space="preserve">Institut NATIONAL DE LA STATISTIQUE </w:t>
          </w:r>
        </w:p>
        <w:p w:rsidR="008C547A" w:rsidRPr="00C73671" w:rsidRDefault="008C547A" w:rsidP="008C547A">
          <w:pPr>
            <w:tabs>
              <w:tab w:val="left" w:pos="2694"/>
            </w:tabs>
            <w:spacing w:after="0" w:line="240" w:lineRule="auto"/>
            <w:jc w:val="center"/>
            <w:rPr>
              <w:rFonts w:ascii="Times New Roman" w:hAnsi="Times New Roman" w:cs="Times New Roman"/>
              <w:b/>
              <w:caps/>
              <w:noProof/>
              <w:sz w:val="28"/>
              <w:szCs w:val="28"/>
              <w:lang w:val="rw-RW" w:eastAsia="rw-RW"/>
            </w:rPr>
          </w:pPr>
          <w:r w:rsidRPr="00C73671">
            <w:rPr>
              <w:rFonts w:ascii="Times New Roman" w:hAnsi="Times New Roman" w:cs="Times New Roman"/>
              <w:b/>
              <w:caps/>
              <w:noProof/>
              <w:sz w:val="28"/>
              <w:szCs w:val="28"/>
              <w:lang w:val="rw-RW" w:eastAsia="rw-RW"/>
            </w:rPr>
            <w:t xml:space="preserve"> du Burundi</w:t>
          </w:r>
        </w:p>
        <w:p w:rsidR="008C547A" w:rsidRPr="00597E27" w:rsidRDefault="008C547A" w:rsidP="008C547A">
          <w:pPr>
            <w:pStyle w:val="En-tte"/>
            <w:rPr>
              <w:rFonts w:ascii="Tahoma" w:hAnsi="Tahoma" w:cs="Tahoma"/>
              <w:b/>
              <w:caps/>
              <w:noProof/>
              <w:sz w:val="24"/>
              <w:szCs w:val="24"/>
              <w:lang w:eastAsia="rw-RW"/>
            </w:rPr>
          </w:pPr>
        </w:p>
        <w:p w:rsidR="008C547A" w:rsidRPr="00597E27" w:rsidRDefault="008C547A" w:rsidP="008C547A">
          <w:pPr>
            <w:pStyle w:val="En-tte"/>
            <w:rPr>
              <w:rFonts w:ascii="Tahoma" w:hAnsi="Tahoma" w:cs="Tahoma"/>
              <w:b/>
              <w:caps/>
              <w:noProof/>
              <w:sz w:val="24"/>
              <w:szCs w:val="24"/>
              <w:lang w:eastAsia="rw-RW"/>
            </w:rPr>
          </w:pPr>
          <w:r>
            <w:rPr>
              <w:rFonts w:ascii="Tahoma" w:hAnsi="Tahoma" w:cs="Tahoma"/>
              <w:b/>
              <w:caps/>
              <w:noProof/>
              <w:sz w:val="24"/>
              <w:szCs w:val="24"/>
              <w:lang w:eastAsia="rw-RW"/>
            </w:rPr>
            <w:tab/>
          </w:r>
          <w:r>
            <w:rPr>
              <w:rFonts w:ascii="Tahoma" w:hAnsi="Tahoma" w:cs="Tahoma"/>
              <w:b/>
              <w:caps/>
              <w:noProof/>
              <w:lang w:val="en-US" w:eastAsia="en-US"/>
            </w:rPr>
            <w:drawing>
              <wp:inline distT="0" distB="0" distL="0" distR="0" wp14:anchorId="579968FF" wp14:editId="335DF5B3">
                <wp:extent cx="1388745" cy="673100"/>
                <wp:effectExtent l="0" t="0" r="1905" b="0"/>
                <wp:docPr id="14" name="Image 14" descr="logo propos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roposé"/>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88745" cy="673100"/>
                        </a:xfrm>
                        <a:prstGeom prst="rect">
                          <a:avLst/>
                        </a:prstGeom>
                        <a:noFill/>
                        <a:ln>
                          <a:noFill/>
                        </a:ln>
                      </pic:spPr>
                    </pic:pic>
                  </a:graphicData>
                </a:graphic>
              </wp:inline>
            </w:drawing>
          </w:r>
          <w:r w:rsidRPr="00597E27">
            <w:rPr>
              <w:rFonts w:ascii="Tahoma" w:hAnsi="Tahoma" w:cs="Tahoma"/>
              <w:b/>
              <w:caps/>
              <w:noProof/>
              <w:sz w:val="24"/>
              <w:szCs w:val="24"/>
              <w:lang w:eastAsia="rw-RW"/>
            </w:rPr>
            <w:br w:type="textWrapping" w:clear="all"/>
          </w:r>
        </w:p>
        <w:p w:rsidR="008C547A" w:rsidRPr="00C73671" w:rsidRDefault="008C547A" w:rsidP="008C547A">
          <w:pPr>
            <w:pStyle w:val="En-tte"/>
            <w:jc w:val="center"/>
            <w:rPr>
              <w:b/>
              <w:bCs/>
              <w:sz w:val="28"/>
              <w:szCs w:val="28"/>
              <w:u w:val="single"/>
            </w:rPr>
          </w:pPr>
          <w:r w:rsidRPr="00C73671">
            <w:rPr>
              <w:b/>
              <w:bCs/>
              <w:sz w:val="28"/>
              <w:szCs w:val="28"/>
              <w:u w:val="single"/>
            </w:rPr>
            <w:t>DIRECTION GENERALE</w:t>
          </w:r>
        </w:p>
        <w:p w:rsidR="008C547A" w:rsidRPr="00C73671" w:rsidRDefault="008C547A" w:rsidP="008C547A">
          <w:pPr>
            <w:spacing w:after="0"/>
            <w:jc w:val="center"/>
            <w:rPr>
              <w:rStyle w:val="lev"/>
              <w:rFonts w:ascii="Times New Roman" w:hAnsi="Times New Roman" w:cs="Times New Roman"/>
              <w:color w:val="8496B0" w:themeColor="text2" w:themeTint="99"/>
              <w:sz w:val="28"/>
              <w:szCs w:val="28"/>
              <w:u w:val="single"/>
              <w:lang w:eastAsia="fr-FR" w:bidi="ar-SA"/>
            </w:rPr>
          </w:pPr>
          <w:r w:rsidRPr="00C73671">
            <w:rPr>
              <w:rStyle w:val="lev"/>
              <w:rFonts w:ascii="Times New Roman" w:hAnsi="Times New Roman" w:cs="Times New Roman"/>
              <w:color w:val="8496B0" w:themeColor="text2" w:themeTint="99"/>
              <w:sz w:val="28"/>
              <w:szCs w:val="28"/>
              <w:u w:val="single"/>
            </w:rPr>
            <w:t>SERVICE « ETUDES ET STATISTIQUES AGRICOLES ET DE</w:t>
          </w:r>
          <w:r>
            <w:rPr>
              <w:rStyle w:val="lev"/>
              <w:rFonts w:ascii="Times New Roman" w:hAnsi="Times New Roman" w:cs="Times New Roman"/>
              <w:color w:val="8496B0" w:themeColor="text2" w:themeTint="99"/>
              <w:sz w:val="28"/>
              <w:szCs w:val="28"/>
              <w:u w:val="single"/>
            </w:rPr>
            <w:t>S PRIX A LA PRODUCTION AGRICOLE</w:t>
          </w:r>
          <w:r w:rsidRPr="00C73671">
            <w:rPr>
              <w:rStyle w:val="lev"/>
              <w:rFonts w:ascii="Times New Roman" w:hAnsi="Times New Roman" w:cs="Times New Roman"/>
              <w:color w:val="8496B0" w:themeColor="text2" w:themeTint="99"/>
              <w:sz w:val="28"/>
              <w:szCs w:val="28"/>
              <w:u w:val="single"/>
            </w:rPr>
            <w:t> »</w:t>
          </w:r>
        </w:p>
        <w:p w:rsidR="008C547A" w:rsidRPr="00597E27" w:rsidRDefault="008C547A" w:rsidP="008C547A">
          <w:pPr>
            <w:pStyle w:val="Sansinterligne"/>
            <w:jc w:val="both"/>
            <w:rPr>
              <w:rFonts w:ascii="Tahoma" w:hAnsi="Tahoma" w:cs="Tahoma"/>
              <w:sz w:val="24"/>
              <w:szCs w:val="24"/>
              <w:lang w:val="fr-FR"/>
            </w:rPr>
          </w:pPr>
          <w:r>
            <w:rPr>
              <w:rFonts w:ascii="Tahoma" w:hAnsi="Tahoma" w:cs="Tahoma"/>
              <w:noProof/>
              <w:sz w:val="24"/>
              <w:szCs w:val="24"/>
              <w:lang w:bidi="ar-SA"/>
            </w:rPr>
            <mc:AlternateContent>
              <mc:Choice Requires="wps">
                <w:drawing>
                  <wp:anchor distT="0" distB="0" distL="114300" distR="114300" simplePos="0" relativeHeight="251659264" behindDoc="0" locked="0" layoutInCell="1" allowOverlap="1" wp14:anchorId="36A79F8E" wp14:editId="57A0E805">
                    <wp:simplePos x="0" y="0"/>
                    <wp:positionH relativeFrom="margin">
                      <wp:align>center</wp:align>
                    </wp:positionH>
                    <wp:positionV relativeFrom="paragraph">
                      <wp:posOffset>4445</wp:posOffset>
                    </wp:positionV>
                    <wp:extent cx="5581650" cy="1264285"/>
                    <wp:effectExtent l="0" t="0" r="19050" b="12065"/>
                    <wp:wrapNone/>
                    <wp:docPr id="1"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1264285"/>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7477F" w:rsidRPr="00C73671" w:rsidRDefault="0037477F" w:rsidP="008C547A">
                                <w:pPr>
                                  <w:jc w:val="center"/>
                                  <w:rPr>
                                    <w:rFonts w:ascii="Times New Roman" w:hAnsi="Times New Roman" w:cs="Times New Roman"/>
                                    <w:b/>
                                    <w:color w:val="262626" w:themeColor="text1" w:themeTint="D9"/>
                                    <w:sz w:val="36"/>
                                    <w:szCs w:val="36"/>
                                  </w:rPr>
                                </w:pPr>
                                <w:r w:rsidRPr="00C73671">
                                  <w:rPr>
                                    <w:rFonts w:ascii="Times New Roman" w:hAnsi="Times New Roman" w:cs="Times New Roman"/>
                                    <w:b/>
                                    <w:color w:val="262626" w:themeColor="text1" w:themeTint="D9"/>
                                    <w:sz w:val="36"/>
                                    <w:szCs w:val="36"/>
                                  </w:rPr>
                                  <w:t xml:space="preserve">INDICES DES PRIX A LA PRODUCTION AGRICOLE AU </w:t>
                                </w:r>
                                <w:r>
                                  <w:rPr>
                                    <w:rFonts w:ascii="Times New Roman" w:hAnsi="Times New Roman" w:cs="Times New Roman"/>
                                    <w:b/>
                                    <w:color w:val="262626" w:themeColor="text1" w:themeTint="D9"/>
                                    <w:sz w:val="36"/>
                                    <w:szCs w:val="36"/>
                                  </w:rPr>
                                  <w:t xml:space="preserve">BURUNDI (IPPAB), MOIS D’AVRIL </w:t>
                                </w:r>
                                <w:r w:rsidRPr="00C73671">
                                  <w:rPr>
                                    <w:rFonts w:ascii="Times New Roman" w:hAnsi="Times New Roman" w:cs="Times New Roman"/>
                                    <w:b/>
                                    <w:color w:val="262626" w:themeColor="text1" w:themeTint="D9"/>
                                    <w:sz w:val="36"/>
                                    <w:szCs w:val="36"/>
                                  </w:rPr>
                                  <w:t>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6A79F8E" id="Rectangle à coins arrondis 1" o:spid="_x0000_s1026" style="position:absolute;left:0;text-align:left;margin-left:0;margin-top:.35pt;width:439.5pt;height:99.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" fillcolor="#ffe599 [1303]" strokecolor="#1f4d78 [1604]" strokeweight="1pt">
                    <v:stroke joinstyle="miter"/>
                    <v:path arrowok="t"/>
                    <v:textbox>
                      <w:txbxContent>
                        <w:p w:rsidR="0037477F" w:rsidRPr="00C73671" w:rsidRDefault="0037477F" w:rsidP="008C547A">
                          <w:pPr>
                            <w:jc w:val="center"/>
                            <w:rPr>
                              <w:rFonts w:ascii="Times New Roman" w:hAnsi="Times New Roman" w:cs="Times New Roman"/>
                              <w:b/>
                              <w:color w:val="262626" w:themeColor="text1" w:themeTint="D9"/>
                              <w:sz w:val="36"/>
                              <w:szCs w:val="36"/>
                            </w:rPr>
                          </w:pPr>
                          <w:r w:rsidRPr="00C73671">
                            <w:rPr>
                              <w:rFonts w:ascii="Times New Roman" w:hAnsi="Times New Roman" w:cs="Times New Roman"/>
                              <w:b/>
                              <w:color w:val="262626" w:themeColor="text1" w:themeTint="D9"/>
                              <w:sz w:val="36"/>
                              <w:szCs w:val="36"/>
                            </w:rPr>
                            <w:t xml:space="preserve">INDICES DES PRIX A LA PRODUCTION AGRICOLE AU </w:t>
                          </w:r>
                          <w:r>
                            <w:rPr>
                              <w:rFonts w:ascii="Times New Roman" w:hAnsi="Times New Roman" w:cs="Times New Roman"/>
                              <w:b/>
                              <w:color w:val="262626" w:themeColor="text1" w:themeTint="D9"/>
                              <w:sz w:val="36"/>
                              <w:szCs w:val="36"/>
                            </w:rPr>
                            <w:t xml:space="preserve">BURUNDI (IPPAB), MOIS D’AVRIL </w:t>
                          </w:r>
                          <w:r w:rsidRPr="00C73671">
                            <w:rPr>
                              <w:rFonts w:ascii="Times New Roman" w:hAnsi="Times New Roman" w:cs="Times New Roman"/>
                              <w:b/>
                              <w:color w:val="262626" w:themeColor="text1" w:themeTint="D9"/>
                              <w:sz w:val="36"/>
                              <w:szCs w:val="36"/>
                            </w:rPr>
                            <w:t>2023</w:t>
                          </w:r>
                        </w:p>
                      </w:txbxContent>
                    </v:textbox>
                    <w10:wrap anchorx="margin"/>
                  </v:roundrect>
                </w:pict>
              </mc:Fallback>
            </mc:AlternateContent>
          </w:r>
        </w:p>
        <w:p w:rsidR="008C547A" w:rsidRPr="00597E27" w:rsidRDefault="008C547A" w:rsidP="008C547A">
          <w:pPr>
            <w:pStyle w:val="Sansinterligne"/>
            <w:jc w:val="both"/>
            <w:rPr>
              <w:rFonts w:ascii="Tahoma" w:hAnsi="Tahoma" w:cs="Tahoma"/>
              <w:sz w:val="24"/>
              <w:szCs w:val="24"/>
              <w:lang w:val="fr-FR"/>
            </w:rPr>
          </w:pPr>
        </w:p>
        <w:p w:rsidR="008C547A" w:rsidRPr="00597E27" w:rsidRDefault="008C547A" w:rsidP="008C547A">
          <w:pPr>
            <w:jc w:val="both"/>
            <w:rPr>
              <w:rFonts w:ascii="Tahoma" w:hAnsi="Tahoma" w:cs="Tahoma"/>
              <w:sz w:val="24"/>
              <w:szCs w:val="24"/>
            </w:rPr>
          </w:pPr>
        </w:p>
        <w:p w:rsidR="008C547A" w:rsidRPr="00597E27" w:rsidRDefault="008C547A" w:rsidP="008C547A">
          <w:pPr>
            <w:jc w:val="both"/>
            <w:rPr>
              <w:rFonts w:ascii="Tahoma" w:hAnsi="Tahoma" w:cs="Tahoma"/>
              <w:sz w:val="24"/>
              <w:szCs w:val="24"/>
            </w:rPr>
          </w:pPr>
        </w:p>
        <w:p w:rsidR="008C547A" w:rsidRPr="00597E27" w:rsidRDefault="008C547A" w:rsidP="008C547A">
          <w:pPr>
            <w:jc w:val="both"/>
            <w:rPr>
              <w:rFonts w:ascii="Tahoma" w:hAnsi="Tahoma" w:cs="Tahoma"/>
              <w:b/>
              <w:bCs/>
              <w:sz w:val="24"/>
              <w:szCs w:val="24"/>
            </w:rPr>
          </w:pPr>
        </w:p>
        <w:p w:rsidR="008C547A" w:rsidRPr="00597E27" w:rsidRDefault="008C547A" w:rsidP="008C547A">
          <w:pPr>
            <w:jc w:val="both"/>
            <w:rPr>
              <w:rFonts w:ascii="Tahoma" w:hAnsi="Tahoma" w:cs="Tahoma"/>
              <w:b/>
              <w:bCs/>
              <w:sz w:val="24"/>
              <w:szCs w:val="24"/>
            </w:rPr>
          </w:pPr>
          <w:r w:rsidRPr="00597E27">
            <w:rPr>
              <w:rFonts w:ascii="Tahoma" w:hAnsi="Tahoma" w:cs="Tahoma"/>
              <w:b/>
              <w:bCs/>
              <w:noProof/>
              <w:sz w:val="24"/>
              <w:szCs w:val="24"/>
              <w:lang w:val="en-US" w:bidi="ar-SA"/>
            </w:rPr>
            <w:drawing>
              <wp:anchor distT="0" distB="0" distL="114300" distR="114300" simplePos="0" relativeHeight="251660288" behindDoc="0" locked="0" layoutInCell="1" allowOverlap="1" wp14:anchorId="52F1F510" wp14:editId="27533A36">
                <wp:simplePos x="0" y="0"/>
                <wp:positionH relativeFrom="column">
                  <wp:align>left</wp:align>
                </wp:positionH>
                <wp:positionV relativeFrom="paragraph">
                  <wp:align>top</wp:align>
                </wp:positionV>
                <wp:extent cx="2542540" cy="1250315"/>
                <wp:effectExtent l="19050" t="0" r="0" b="0"/>
                <wp:wrapSquare wrapText="bothSides"/>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42540" cy="1250315"/>
                        </a:xfrm>
                        <a:prstGeom prst="rect">
                          <a:avLst/>
                        </a:prstGeom>
                        <a:noFill/>
                        <a:ln w="9525">
                          <a:noFill/>
                          <a:miter lim="800000"/>
                          <a:headEnd/>
                          <a:tailEnd/>
                        </a:ln>
                      </pic:spPr>
                    </pic:pic>
                  </a:graphicData>
                </a:graphic>
              </wp:anchor>
            </w:drawing>
          </w:r>
          <w:r w:rsidRPr="00597E27">
            <w:rPr>
              <w:rFonts w:ascii="Tahoma" w:hAnsi="Tahoma" w:cs="Tahoma"/>
              <w:b/>
              <w:bCs/>
              <w:noProof/>
              <w:sz w:val="24"/>
              <w:szCs w:val="24"/>
              <w:lang w:val="en-US" w:bidi="ar-SA"/>
            </w:rPr>
            <w:drawing>
              <wp:inline distT="0" distB="0" distL="0" distR="0" wp14:anchorId="3EECE376" wp14:editId="20DF0866">
                <wp:extent cx="3138218" cy="1311215"/>
                <wp:effectExtent l="19050" t="0" r="5032"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3144839" cy="1313981"/>
                        </a:xfrm>
                        <a:prstGeom prst="rect">
                          <a:avLst/>
                        </a:prstGeom>
                        <a:noFill/>
                        <a:ln w="9525">
                          <a:noFill/>
                          <a:miter lim="800000"/>
                          <a:headEnd/>
                          <a:tailEnd/>
                        </a:ln>
                      </pic:spPr>
                    </pic:pic>
                  </a:graphicData>
                </a:graphic>
              </wp:inline>
            </w:drawing>
          </w:r>
          <w:r w:rsidRPr="00597E27">
            <w:rPr>
              <w:rFonts w:ascii="Tahoma" w:hAnsi="Tahoma" w:cs="Tahoma"/>
              <w:b/>
              <w:bCs/>
              <w:sz w:val="24"/>
              <w:szCs w:val="24"/>
            </w:rPr>
            <w:br w:type="textWrapping" w:clear="all"/>
          </w:r>
          <w:r w:rsidRPr="00597E27">
            <w:rPr>
              <w:rFonts w:ascii="Tahoma" w:hAnsi="Tahoma" w:cs="Tahoma"/>
              <w:b/>
              <w:bCs/>
              <w:noProof/>
              <w:sz w:val="24"/>
              <w:szCs w:val="24"/>
              <w:lang w:val="en-US" w:bidi="ar-SA"/>
            </w:rPr>
            <w:drawing>
              <wp:inline distT="0" distB="0" distL="0" distR="0" wp14:anchorId="2752056D" wp14:editId="10A6EE4F">
                <wp:extent cx="1438814" cy="1171064"/>
                <wp:effectExtent l="19050" t="0" r="8986" b="0"/>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444494" cy="1175687"/>
                        </a:xfrm>
                        <a:prstGeom prst="rect">
                          <a:avLst/>
                        </a:prstGeom>
                        <a:noFill/>
                        <a:ln w="9525">
                          <a:noFill/>
                          <a:miter lim="800000"/>
                          <a:headEnd/>
                          <a:tailEnd/>
                        </a:ln>
                      </pic:spPr>
                    </pic:pic>
                  </a:graphicData>
                </a:graphic>
              </wp:inline>
            </w:drawing>
          </w:r>
          <w:r w:rsidRPr="00597E27">
            <w:rPr>
              <w:rFonts w:ascii="Tahoma" w:hAnsi="Tahoma" w:cs="Tahoma"/>
              <w:b/>
              <w:bCs/>
              <w:sz w:val="24"/>
              <w:szCs w:val="24"/>
            </w:rPr>
            <w:tab/>
          </w:r>
          <w:r w:rsidRPr="00597E27">
            <w:rPr>
              <w:rFonts w:ascii="Tahoma" w:hAnsi="Tahoma" w:cs="Tahoma"/>
              <w:b/>
              <w:bCs/>
              <w:noProof/>
              <w:sz w:val="24"/>
              <w:szCs w:val="24"/>
              <w:lang w:val="en-US" w:bidi="ar-SA"/>
            </w:rPr>
            <w:drawing>
              <wp:inline distT="0" distB="0" distL="0" distR="0" wp14:anchorId="6F10F9A7" wp14:editId="79467B45">
                <wp:extent cx="2103048" cy="1160495"/>
                <wp:effectExtent l="19050" t="0" r="0" b="0"/>
                <wp:docPr id="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2111072" cy="1164923"/>
                        </a:xfrm>
                        <a:prstGeom prst="rect">
                          <a:avLst/>
                        </a:prstGeom>
                        <a:noFill/>
                        <a:ln w="9525">
                          <a:noFill/>
                          <a:miter lim="800000"/>
                          <a:headEnd/>
                          <a:tailEnd/>
                        </a:ln>
                      </pic:spPr>
                    </pic:pic>
                  </a:graphicData>
                </a:graphic>
              </wp:inline>
            </w:drawing>
          </w:r>
          <w:r w:rsidRPr="00597E27">
            <w:rPr>
              <w:rFonts w:ascii="Tahoma" w:hAnsi="Tahoma" w:cs="Tahoma"/>
              <w:b/>
              <w:bCs/>
              <w:sz w:val="24"/>
              <w:szCs w:val="24"/>
            </w:rPr>
            <w:tab/>
          </w:r>
          <w:r w:rsidRPr="00597E27">
            <w:rPr>
              <w:rFonts w:ascii="Tahoma" w:hAnsi="Tahoma" w:cs="Tahoma"/>
              <w:b/>
              <w:bCs/>
              <w:noProof/>
              <w:sz w:val="24"/>
              <w:szCs w:val="24"/>
              <w:lang w:val="en-US" w:bidi="ar-SA"/>
            </w:rPr>
            <w:drawing>
              <wp:inline distT="0" distB="0" distL="0" distR="0" wp14:anchorId="1FF3ECCC" wp14:editId="6BD002C8">
                <wp:extent cx="1697607" cy="957532"/>
                <wp:effectExtent l="19050" t="0" r="0" b="0"/>
                <wp:docPr id="1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flipH="1">
                          <a:off x="0" y="0"/>
                          <a:ext cx="1698571" cy="958076"/>
                        </a:xfrm>
                        <a:prstGeom prst="rect">
                          <a:avLst/>
                        </a:prstGeom>
                        <a:noFill/>
                        <a:ln w="9525">
                          <a:noFill/>
                          <a:miter lim="800000"/>
                          <a:headEnd/>
                          <a:tailEnd/>
                        </a:ln>
                      </pic:spPr>
                    </pic:pic>
                  </a:graphicData>
                </a:graphic>
              </wp:inline>
            </w:drawing>
          </w:r>
          <w:r w:rsidRPr="00597E27">
            <w:rPr>
              <w:rFonts w:ascii="Tahoma" w:hAnsi="Tahoma" w:cs="Tahoma"/>
              <w:b/>
              <w:bCs/>
              <w:sz w:val="24"/>
              <w:szCs w:val="24"/>
            </w:rPr>
            <w:tab/>
          </w:r>
          <w:r w:rsidRPr="00597E27">
            <w:rPr>
              <w:rFonts w:ascii="Tahoma" w:hAnsi="Tahoma" w:cs="Tahoma"/>
              <w:b/>
              <w:bCs/>
              <w:sz w:val="24"/>
              <w:szCs w:val="24"/>
            </w:rPr>
            <w:tab/>
          </w:r>
        </w:p>
        <w:p w:rsidR="008C547A" w:rsidRPr="00C73671" w:rsidRDefault="008C547A" w:rsidP="008C547A">
          <w:pPr>
            <w:jc w:val="both"/>
            <w:rPr>
              <w:rFonts w:ascii="Times New Roman" w:hAnsi="Times New Roman" w:cs="Times New Roman"/>
              <w:b/>
              <w:bCs/>
              <w:sz w:val="24"/>
              <w:szCs w:val="24"/>
            </w:rPr>
          </w:pPr>
          <w:r w:rsidRPr="00C73671">
            <w:rPr>
              <w:rFonts w:ascii="Times New Roman" w:hAnsi="Times New Roman" w:cs="Times New Roman"/>
              <w:b/>
              <w:bCs/>
              <w:sz w:val="24"/>
              <w:szCs w:val="24"/>
            </w:rPr>
            <w:tab/>
          </w:r>
          <w:r w:rsidRPr="00C73671">
            <w:rPr>
              <w:rFonts w:ascii="Times New Roman" w:hAnsi="Times New Roman" w:cs="Times New Roman"/>
              <w:b/>
              <w:bCs/>
              <w:sz w:val="24"/>
              <w:szCs w:val="24"/>
            </w:rPr>
            <w:tab/>
          </w:r>
          <w:r w:rsidRPr="00C73671">
            <w:rPr>
              <w:rFonts w:ascii="Times New Roman" w:hAnsi="Times New Roman" w:cs="Times New Roman"/>
              <w:b/>
              <w:bCs/>
              <w:sz w:val="24"/>
              <w:szCs w:val="24"/>
            </w:rPr>
            <w:tab/>
          </w:r>
          <w:r w:rsidRPr="00C73671">
            <w:rPr>
              <w:rFonts w:ascii="Times New Roman" w:hAnsi="Times New Roman" w:cs="Times New Roman"/>
              <w:b/>
              <w:bCs/>
              <w:sz w:val="24"/>
              <w:szCs w:val="24"/>
            </w:rPr>
            <w:tab/>
            <w:t>Dat</w:t>
          </w:r>
          <w:r>
            <w:rPr>
              <w:rFonts w:ascii="Times New Roman" w:hAnsi="Times New Roman" w:cs="Times New Roman"/>
              <w:b/>
              <w:bCs/>
              <w:sz w:val="24"/>
              <w:szCs w:val="24"/>
            </w:rPr>
            <w:t>e de publication : le 12 mai</w:t>
          </w:r>
          <w:r w:rsidRPr="00C73671">
            <w:rPr>
              <w:rFonts w:ascii="Times New Roman" w:hAnsi="Times New Roman" w:cs="Times New Roman"/>
              <w:b/>
              <w:bCs/>
              <w:sz w:val="24"/>
              <w:szCs w:val="24"/>
            </w:rPr>
            <w:t xml:space="preserve"> 2023</w:t>
          </w:r>
        </w:p>
      </w:sdtContent>
    </w:sdt>
    <w:p w:rsidR="008C547A" w:rsidRPr="00C73671" w:rsidRDefault="008C547A" w:rsidP="008C547A">
      <w:pPr>
        <w:autoSpaceDE w:val="0"/>
        <w:autoSpaceDN w:val="0"/>
        <w:adjustRightInd w:val="0"/>
        <w:spacing w:before="0" w:after="0" w:line="240" w:lineRule="auto"/>
        <w:jc w:val="center"/>
        <w:rPr>
          <w:rFonts w:ascii="Times New Roman" w:hAnsi="Times New Roman" w:cs="Times New Roman"/>
          <w:b/>
          <w:bCs/>
          <w:sz w:val="24"/>
          <w:szCs w:val="24"/>
          <w:lang w:bidi="ar-SA"/>
        </w:rPr>
      </w:pPr>
      <w:r w:rsidRPr="00C73671">
        <w:rPr>
          <w:rFonts w:ascii="Times New Roman" w:hAnsi="Times New Roman" w:cs="Times New Roman"/>
          <w:b/>
          <w:bCs/>
          <w:sz w:val="24"/>
          <w:szCs w:val="24"/>
          <w:lang w:bidi="ar-SA"/>
        </w:rPr>
        <w:lastRenderedPageBreak/>
        <w:t>Aux lecteurs</w:t>
      </w:r>
    </w:p>
    <w:p w:rsidR="008C547A" w:rsidRPr="00C73671" w:rsidRDefault="008C547A" w:rsidP="008C547A">
      <w:pPr>
        <w:autoSpaceDE w:val="0"/>
        <w:autoSpaceDN w:val="0"/>
        <w:adjustRightInd w:val="0"/>
        <w:spacing w:before="0" w:after="0" w:line="240" w:lineRule="auto"/>
        <w:jc w:val="center"/>
        <w:rPr>
          <w:rFonts w:ascii="Times New Roman" w:hAnsi="Times New Roman" w:cs="Times New Roman"/>
          <w:b/>
          <w:bCs/>
          <w:sz w:val="24"/>
          <w:szCs w:val="24"/>
          <w:lang w:bidi="ar-SA"/>
        </w:rPr>
      </w:pPr>
    </w:p>
    <w:p w:rsidR="008C547A" w:rsidRPr="00C73671" w:rsidRDefault="008C547A" w:rsidP="008C547A">
      <w:pPr>
        <w:autoSpaceDE w:val="0"/>
        <w:autoSpaceDN w:val="0"/>
        <w:adjustRightInd w:val="0"/>
        <w:spacing w:before="0" w:after="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L’Institut National de la Statistiques du Burundi (INSBU) met à la disposition des utilisateurs l'Indice des Prix à la Production Agricole (IPPAB base 100 </w:t>
      </w:r>
      <w:r>
        <w:rPr>
          <w:rFonts w:ascii="Times New Roman" w:hAnsi="Times New Roman" w:cs="Times New Roman"/>
          <w:sz w:val="24"/>
          <w:szCs w:val="24"/>
          <w:lang w:bidi="ar-SA"/>
        </w:rPr>
        <w:t xml:space="preserve">pour l’année </w:t>
      </w:r>
      <w:r w:rsidRPr="00C73671">
        <w:rPr>
          <w:rFonts w:ascii="Times New Roman" w:hAnsi="Times New Roman" w:cs="Times New Roman"/>
          <w:sz w:val="24"/>
          <w:szCs w:val="24"/>
          <w:lang w:bidi="ar-SA"/>
        </w:rPr>
        <w:t>2018).</w:t>
      </w:r>
    </w:p>
    <w:p w:rsidR="008C547A" w:rsidRPr="00C73671" w:rsidRDefault="008C547A" w:rsidP="008C547A">
      <w:pPr>
        <w:autoSpaceDE w:val="0"/>
        <w:autoSpaceDN w:val="0"/>
        <w:adjustRightInd w:val="0"/>
        <w:spacing w:before="0" w:after="0"/>
        <w:jc w:val="both"/>
        <w:rPr>
          <w:rFonts w:ascii="Times New Roman" w:eastAsia="Times New Roman" w:hAnsi="Times New Roman" w:cs="Times New Roman"/>
          <w:sz w:val="24"/>
          <w:szCs w:val="24"/>
          <w:lang w:val="af-ZA" w:bidi="ar-SA"/>
        </w:rPr>
      </w:pPr>
      <w:r w:rsidRPr="00C73671">
        <w:rPr>
          <w:rFonts w:ascii="Times New Roman" w:hAnsi="Times New Roman" w:cs="Times New Roman"/>
          <w:sz w:val="24"/>
          <w:szCs w:val="24"/>
          <w:lang w:bidi="ar-SA"/>
        </w:rPr>
        <w:t xml:space="preserve">Cet indice composite, basé sur l’observation des prix des </w:t>
      </w:r>
      <w:r w:rsidRPr="00C73671">
        <w:rPr>
          <w:rFonts w:ascii="Times New Roman" w:eastAsia="Times New Roman" w:hAnsi="Times New Roman" w:cs="Times New Roman"/>
          <w:sz w:val="24"/>
          <w:szCs w:val="24"/>
          <w:lang w:val="af-ZA" w:bidi="ar-SA"/>
        </w:rPr>
        <w:t xml:space="preserve">Céréales ; des tubercules et racines ; les légumineuses ; les plantes oléagineuses ; les cultures industrielles ; les légumes frais ; la banane ; les fruits frais, les bovins, les ovins et caprins ; les porcins ; les produits élevages et volailles, les sous produits de l’élevage ; les produits de la sylviculture et de l’exploitation forestière ainsi que les produits de la </w:t>
      </w:r>
      <w:r w:rsidRPr="00C73671">
        <w:rPr>
          <w:rFonts w:ascii="Times New Roman" w:eastAsia="Times New Roman" w:hAnsi="Times New Roman" w:cs="Times New Roman"/>
          <w:sz w:val="24"/>
          <w:szCs w:val="24"/>
          <w:lang w:bidi="ar-SA"/>
        </w:rPr>
        <w:t xml:space="preserve">pêche </w:t>
      </w:r>
      <w:r w:rsidRPr="00C73671">
        <w:rPr>
          <w:rFonts w:ascii="Times New Roman" w:eastAsia="Times New Roman" w:hAnsi="Times New Roman" w:cs="Times New Roman"/>
          <w:sz w:val="24"/>
          <w:szCs w:val="24"/>
          <w:lang w:val="af-ZA" w:bidi="ar-SA"/>
        </w:rPr>
        <w:t>(coutumière et artisanale).</w:t>
      </w:r>
    </w:p>
    <w:p w:rsidR="008C547A" w:rsidRPr="00C73671"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73671"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La méthodologie utilisée est du type input avec une formule de </w:t>
      </w:r>
      <w:proofErr w:type="spellStart"/>
      <w:r w:rsidRPr="00C73671">
        <w:rPr>
          <w:rFonts w:ascii="Times New Roman" w:hAnsi="Times New Roman" w:cs="Times New Roman"/>
          <w:sz w:val="24"/>
          <w:szCs w:val="24"/>
          <w:lang w:bidi="ar-SA"/>
        </w:rPr>
        <w:t>Laspeyres</w:t>
      </w:r>
      <w:proofErr w:type="spellEnd"/>
      <w:r w:rsidRPr="00C73671">
        <w:rPr>
          <w:rFonts w:ascii="Times New Roman" w:hAnsi="Times New Roman" w:cs="Times New Roman"/>
          <w:sz w:val="24"/>
          <w:szCs w:val="24"/>
          <w:lang w:bidi="ar-SA"/>
        </w:rPr>
        <w:t>. Le champ couvert par l’indice</w:t>
      </w:r>
      <w:r w:rsidR="00F5456E">
        <w:rPr>
          <w:rFonts w:ascii="Times New Roman" w:hAnsi="Times New Roman" w:cs="Times New Roman"/>
          <w:sz w:val="24"/>
          <w:szCs w:val="24"/>
          <w:lang w:bidi="ar-SA"/>
        </w:rPr>
        <w:t xml:space="preserve"> est le territoire national exclus</w:t>
      </w:r>
      <w:r w:rsidRPr="00C73671">
        <w:rPr>
          <w:rFonts w:ascii="Times New Roman" w:hAnsi="Times New Roman" w:cs="Times New Roman"/>
          <w:sz w:val="24"/>
          <w:szCs w:val="24"/>
          <w:lang w:bidi="ar-SA"/>
        </w:rPr>
        <w:t xml:space="preserve"> la Mairie de Bujumbura.</w:t>
      </w:r>
    </w:p>
    <w:p w:rsidR="008C547A" w:rsidRPr="00C73671" w:rsidRDefault="008C547A" w:rsidP="008C547A">
      <w:pPr>
        <w:jc w:val="both"/>
        <w:rPr>
          <w:rFonts w:ascii="Times New Roman" w:hAnsi="Times New Roman" w:cs="Times New Roman"/>
          <w:sz w:val="24"/>
          <w:szCs w:val="24"/>
        </w:rPr>
      </w:pPr>
      <w:r w:rsidRPr="00C73671">
        <w:rPr>
          <w:rFonts w:ascii="Times New Roman" w:hAnsi="Times New Roman" w:cs="Times New Roman"/>
          <w:sz w:val="24"/>
          <w:szCs w:val="24"/>
        </w:rPr>
        <w:t>Les coefficients de pondération sont calculés à l’aide des structures des comptes nationaux de 2014.</w:t>
      </w:r>
    </w:p>
    <w:p w:rsidR="008C547A" w:rsidRPr="00C73671" w:rsidRDefault="008C547A" w:rsidP="008C547A">
      <w:pPr>
        <w:jc w:val="both"/>
        <w:rPr>
          <w:rFonts w:ascii="Times New Roman" w:hAnsi="Times New Roman" w:cs="Times New Roman"/>
          <w:b/>
          <w:sz w:val="24"/>
          <w:szCs w:val="24"/>
        </w:rPr>
      </w:pPr>
      <w:r w:rsidRPr="00C73671">
        <w:rPr>
          <w:rFonts w:ascii="Times New Roman" w:hAnsi="Times New Roman" w:cs="Times New Roman"/>
          <w:b/>
          <w:bCs/>
          <w:sz w:val="24"/>
          <w:szCs w:val="24"/>
          <w:lang w:bidi="ar-SA"/>
        </w:rPr>
        <w:t>Evolution des prix des produits agricol</w:t>
      </w:r>
      <w:r>
        <w:rPr>
          <w:rFonts w:ascii="Times New Roman" w:hAnsi="Times New Roman" w:cs="Times New Roman"/>
          <w:b/>
          <w:bCs/>
          <w:sz w:val="24"/>
          <w:szCs w:val="24"/>
          <w:lang w:bidi="ar-SA"/>
        </w:rPr>
        <w:t>es au mois d’avril</w:t>
      </w:r>
      <w:r w:rsidRPr="00C73671">
        <w:rPr>
          <w:rFonts w:ascii="Times New Roman" w:hAnsi="Times New Roman" w:cs="Times New Roman"/>
          <w:b/>
          <w:bCs/>
          <w:sz w:val="24"/>
          <w:szCs w:val="24"/>
          <w:lang w:bidi="ar-SA"/>
        </w:rPr>
        <w:t xml:space="preserve"> 2023</w:t>
      </w:r>
    </w:p>
    <w:p w:rsidR="008C547A" w:rsidRPr="00C73671"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Dans l’ensemble les prix des produits enregistrent une </w:t>
      </w:r>
      <w:r>
        <w:rPr>
          <w:rFonts w:ascii="Times New Roman" w:hAnsi="Times New Roman" w:cs="Times New Roman"/>
          <w:sz w:val="24"/>
          <w:szCs w:val="24"/>
          <w:lang w:bidi="ar-SA"/>
        </w:rPr>
        <w:t xml:space="preserve">variation en augmentation de </w:t>
      </w:r>
      <w:r w:rsidR="00F5456E">
        <w:rPr>
          <w:rFonts w:ascii="Times New Roman" w:hAnsi="Times New Roman" w:cs="Times New Roman"/>
          <w:sz w:val="24"/>
          <w:szCs w:val="24"/>
          <w:lang w:bidi="ar-SA"/>
        </w:rPr>
        <w:t>0</w:t>
      </w:r>
      <w:r>
        <w:rPr>
          <w:rFonts w:ascii="Times New Roman" w:hAnsi="Times New Roman" w:cs="Times New Roman"/>
          <w:sz w:val="24"/>
          <w:szCs w:val="24"/>
          <w:lang w:bidi="ar-SA"/>
        </w:rPr>
        <w:t>,8</w:t>
      </w:r>
      <w:r w:rsidR="00F5456E">
        <w:rPr>
          <w:rFonts w:ascii="Times New Roman" w:hAnsi="Times New Roman" w:cs="Times New Roman"/>
          <w:sz w:val="24"/>
          <w:szCs w:val="24"/>
          <w:lang w:bidi="ar-SA"/>
        </w:rPr>
        <w:t>% pour le mois d’avril</w:t>
      </w:r>
      <w:r>
        <w:rPr>
          <w:rFonts w:ascii="Times New Roman" w:hAnsi="Times New Roman" w:cs="Times New Roman"/>
          <w:sz w:val="24"/>
          <w:szCs w:val="24"/>
          <w:lang w:bidi="ar-SA"/>
        </w:rPr>
        <w:t xml:space="preserve"> 2023 contre une </w:t>
      </w:r>
      <w:r w:rsidRPr="00C73671">
        <w:rPr>
          <w:rFonts w:ascii="Times New Roman" w:hAnsi="Times New Roman" w:cs="Times New Roman"/>
          <w:sz w:val="24"/>
          <w:szCs w:val="24"/>
          <w:lang w:bidi="ar-SA"/>
        </w:rPr>
        <w:t>variation</w:t>
      </w:r>
      <w:r>
        <w:rPr>
          <w:rFonts w:ascii="Times New Roman" w:hAnsi="Times New Roman" w:cs="Times New Roman"/>
          <w:sz w:val="24"/>
          <w:szCs w:val="24"/>
          <w:lang w:bidi="ar-SA"/>
        </w:rPr>
        <w:t xml:space="preserve"> en augmentation de </w:t>
      </w:r>
      <w:r w:rsidR="00F5456E">
        <w:rPr>
          <w:rFonts w:ascii="Times New Roman" w:hAnsi="Times New Roman" w:cs="Times New Roman"/>
          <w:sz w:val="24"/>
          <w:szCs w:val="24"/>
          <w:lang w:bidi="ar-SA"/>
        </w:rPr>
        <w:t>4,8</w:t>
      </w:r>
      <w:r w:rsidR="00F5456E" w:rsidRPr="00C73671">
        <w:rPr>
          <w:rFonts w:ascii="Times New Roman" w:hAnsi="Times New Roman" w:cs="Times New Roman"/>
          <w:sz w:val="24"/>
          <w:szCs w:val="24"/>
          <w:lang w:bidi="ar-SA"/>
        </w:rPr>
        <w:t>% pour le mois de</w:t>
      </w:r>
      <w:r w:rsidR="00F5456E">
        <w:rPr>
          <w:rFonts w:ascii="Times New Roman" w:hAnsi="Times New Roman" w:cs="Times New Roman"/>
          <w:sz w:val="24"/>
          <w:szCs w:val="24"/>
          <w:lang w:bidi="ar-SA"/>
        </w:rPr>
        <w:t xml:space="preserve"> mars 2023</w:t>
      </w:r>
      <w:r w:rsidRPr="00C73671">
        <w:rPr>
          <w:rFonts w:ascii="Times New Roman" w:hAnsi="Times New Roman" w:cs="Times New Roman"/>
          <w:sz w:val="24"/>
          <w:szCs w:val="24"/>
          <w:lang w:bidi="ar-SA"/>
        </w:rPr>
        <w:t>.</w:t>
      </w:r>
    </w:p>
    <w:p w:rsidR="008C547A" w:rsidRPr="00C73671"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146BB1"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Pour les cé</w:t>
      </w:r>
      <w:r>
        <w:rPr>
          <w:rFonts w:ascii="Times New Roman" w:hAnsi="Times New Roman" w:cs="Times New Roman"/>
          <w:sz w:val="24"/>
          <w:szCs w:val="24"/>
          <w:lang w:bidi="ar-SA"/>
        </w:rPr>
        <w:t>réa</w:t>
      </w:r>
      <w:r w:rsidR="00F5456E">
        <w:rPr>
          <w:rFonts w:ascii="Times New Roman" w:hAnsi="Times New Roman" w:cs="Times New Roman"/>
          <w:sz w:val="24"/>
          <w:szCs w:val="24"/>
          <w:lang w:bidi="ar-SA"/>
        </w:rPr>
        <w:t>les, on observe une variation en diminution de 10% pour ce mois d’avril. Le maïs ;</w:t>
      </w:r>
      <w:r>
        <w:rPr>
          <w:rFonts w:ascii="Times New Roman" w:hAnsi="Times New Roman" w:cs="Times New Roman"/>
          <w:sz w:val="24"/>
          <w:szCs w:val="24"/>
          <w:lang w:bidi="ar-SA"/>
        </w:rPr>
        <w:t xml:space="preserve"> l’éleusine </w:t>
      </w:r>
      <w:r w:rsidR="00F5456E">
        <w:rPr>
          <w:rFonts w:ascii="Times New Roman" w:hAnsi="Times New Roman" w:cs="Times New Roman"/>
          <w:sz w:val="24"/>
          <w:szCs w:val="24"/>
          <w:lang w:bidi="ar-SA"/>
        </w:rPr>
        <w:t xml:space="preserve">et le sorgho </w:t>
      </w:r>
      <w:r>
        <w:rPr>
          <w:rFonts w:ascii="Times New Roman" w:hAnsi="Times New Roman" w:cs="Times New Roman"/>
          <w:sz w:val="24"/>
          <w:szCs w:val="24"/>
          <w:lang w:bidi="ar-SA"/>
        </w:rPr>
        <w:t>ont subi respe</w:t>
      </w:r>
      <w:r w:rsidR="00F5456E">
        <w:rPr>
          <w:rFonts w:ascii="Times New Roman" w:hAnsi="Times New Roman" w:cs="Times New Roman"/>
          <w:sz w:val="24"/>
          <w:szCs w:val="24"/>
          <w:lang w:bidi="ar-SA"/>
        </w:rPr>
        <w:t>ctivement des diminutions de 10,8% ;10</w:t>
      </w:r>
      <w:r>
        <w:rPr>
          <w:rFonts w:ascii="Times New Roman" w:hAnsi="Times New Roman" w:cs="Times New Roman"/>
          <w:sz w:val="24"/>
          <w:szCs w:val="24"/>
          <w:lang w:bidi="ar-SA"/>
        </w:rPr>
        <w:t xml:space="preserve">% </w:t>
      </w:r>
      <w:r w:rsidR="00F5456E">
        <w:rPr>
          <w:rFonts w:ascii="Times New Roman" w:hAnsi="Times New Roman" w:cs="Times New Roman"/>
          <w:sz w:val="24"/>
          <w:szCs w:val="24"/>
          <w:lang w:bidi="ar-SA"/>
        </w:rPr>
        <w:t>et de 4 ;3</w:t>
      </w:r>
      <w:r>
        <w:rPr>
          <w:rFonts w:ascii="Times New Roman" w:hAnsi="Times New Roman" w:cs="Times New Roman"/>
          <w:sz w:val="24"/>
          <w:szCs w:val="24"/>
          <w:lang w:bidi="ar-SA"/>
        </w:rPr>
        <w:t>% tandis que les autres produits ont enregistré des variat</w:t>
      </w:r>
      <w:r w:rsidR="00F5456E">
        <w:rPr>
          <w:rFonts w:ascii="Times New Roman" w:hAnsi="Times New Roman" w:cs="Times New Roman"/>
          <w:sz w:val="24"/>
          <w:szCs w:val="24"/>
          <w:lang w:bidi="ar-SA"/>
        </w:rPr>
        <w:t>ions en augmentation (le Blé :9</w:t>
      </w:r>
      <w:r>
        <w:rPr>
          <w:rFonts w:ascii="Times New Roman" w:hAnsi="Times New Roman" w:cs="Times New Roman"/>
          <w:sz w:val="24"/>
          <w:szCs w:val="24"/>
          <w:lang w:bidi="ar-SA"/>
        </w:rPr>
        <w:t>,2% ; le riz</w:t>
      </w:r>
      <w:r w:rsidR="00F5456E">
        <w:rPr>
          <w:rFonts w:ascii="Times New Roman" w:hAnsi="Times New Roman" w:cs="Times New Roman"/>
          <w:sz w:val="24"/>
          <w:szCs w:val="24"/>
          <w:lang w:bidi="ar-SA"/>
        </w:rPr>
        <w:t xml:space="preserve"> paddy</w:t>
      </w:r>
      <w:r w:rsidR="00146BB1">
        <w:rPr>
          <w:rFonts w:ascii="Times New Roman" w:hAnsi="Times New Roman" w:cs="Times New Roman"/>
          <w:sz w:val="24"/>
          <w:szCs w:val="24"/>
          <w:lang w:bidi="ar-SA"/>
        </w:rPr>
        <w:t> :2,2</w:t>
      </w:r>
      <w:r>
        <w:rPr>
          <w:rFonts w:ascii="Times New Roman" w:hAnsi="Times New Roman" w:cs="Times New Roman"/>
          <w:sz w:val="24"/>
          <w:szCs w:val="24"/>
          <w:lang w:bidi="ar-SA"/>
        </w:rPr>
        <w:t>%</w:t>
      </w:r>
      <w:r w:rsidR="00146BB1">
        <w:rPr>
          <w:rFonts w:ascii="Times New Roman" w:hAnsi="Times New Roman" w:cs="Times New Roman"/>
          <w:sz w:val="24"/>
          <w:szCs w:val="24"/>
          <w:lang w:bidi="ar-SA"/>
        </w:rPr>
        <w:t>).</w:t>
      </w:r>
      <w:r>
        <w:rPr>
          <w:rFonts w:ascii="Times New Roman" w:hAnsi="Times New Roman" w:cs="Times New Roman"/>
          <w:sz w:val="24"/>
          <w:szCs w:val="24"/>
          <w:lang w:bidi="ar-SA"/>
        </w:rPr>
        <w:t> </w:t>
      </w:r>
    </w:p>
    <w:p w:rsidR="008C547A" w:rsidRPr="00C73671"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Les tubercules et les racines man</w:t>
      </w:r>
      <w:r w:rsidR="00146BB1">
        <w:rPr>
          <w:rFonts w:ascii="Times New Roman" w:hAnsi="Times New Roman" w:cs="Times New Roman"/>
          <w:sz w:val="24"/>
          <w:szCs w:val="24"/>
          <w:lang w:bidi="ar-SA"/>
        </w:rPr>
        <w:t>ifestent une diminution de 0,7</w:t>
      </w:r>
      <w:r w:rsidRPr="00C73671">
        <w:rPr>
          <w:rFonts w:ascii="Times New Roman" w:hAnsi="Times New Roman" w:cs="Times New Roman"/>
          <w:sz w:val="24"/>
          <w:szCs w:val="24"/>
          <w:lang w:bidi="ar-SA"/>
        </w:rPr>
        <w:t xml:space="preserve"> % </w:t>
      </w:r>
      <w:r w:rsidR="00146BB1">
        <w:rPr>
          <w:rFonts w:ascii="Times New Roman" w:hAnsi="Times New Roman" w:cs="Times New Roman"/>
          <w:sz w:val="24"/>
          <w:szCs w:val="24"/>
          <w:lang w:bidi="ar-SA"/>
        </w:rPr>
        <w:t>au mois d’avril</w:t>
      </w:r>
      <w:r>
        <w:rPr>
          <w:rFonts w:ascii="Times New Roman" w:hAnsi="Times New Roman" w:cs="Times New Roman"/>
          <w:sz w:val="24"/>
          <w:szCs w:val="24"/>
          <w:lang w:bidi="ar-SA"/>
        </w:rPr>
        <w:t xml:space="preserve"> 2023</w:t>
      </w:r>
      <w:r w:rsidRPr="00C73671">
        <w:rPr>
          <w:rFonts w:ascii="Times New Roman" w:hAnsi="Times New Roman" w:cs="Times New Roman"/>
          <w:sz w:val="24"/>
          <w:szCs w:val="24"/>
          <w:lang w:bidi="ar-SA"/>
        </w:rPr>
        <w:t xml:space="preserve"> contre une augmentation de </w:t>
      </w:r>
      <w:r w:rsidR="00146BB1">
        <w:rPr>
          <w:rFonts w:ascii="Times New Roman" w:hAnsi="Times New Roman" w:cs="Times New Roman"/>
          <w:sz w:val="24"/>
          <w:szCs w:val="24"/>
          <w:lang w:bidi="ar-SA"/>
        </w:rPr>
        <w:t>8,9 % au mois mars</w:t>
      </w:r>
      <w:r w:rsidRPr="00C73671">
        <w:rPr>
          <w:rFonts w:ascii="Times New Roman" w:hAnsi="Times New Roman" w:cs="Times New Roman"/>
          <w:sz w:val="24"/>
          <w:szCs w:val="24"/>
          <w:lang w:bidi="ar-SA"/>
        </w:rPr>
        <w:t>.</w:t>
      </w:r>
    </w:p>
    <w:p w:rsidR="008C547A" w:rsidRPr="00C73671"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73671"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La classe des légum</w:t>
      </w:r>
      <w:r w:rsidR="00146BB1">
        <w:rPr>
          <w:rFonts w:ascii="Times New Roman" w:hAnsi="Times New Roman" w:cs="Times New Roman"/>
          <w:sz w:val="24"/>
          <w:szCs w:val="24"/>
          <w:lang w:bidi="ar-SA"/>
        </w:rPr>
        <w:t>ineuses a subi une hausse de 1,6% pour ce mois d’avril</w:t>
      </w:r>
      <w:r>
        <w:rPr>
          <w:rFonts w:ascii="Times New Roman" w:hAnsi="Times New Roman" w:cs="Times New Roman"/>
          <w:sz w:val="24"/>
          <w:szCs w:val="24"/>
          <w:lang w:bidi="ar-SA"/>
        </w:rPr>
        <w:t xml:space="preserve"> 2023</w:t>
      </w:r>
      <w:r w:rsidRPr="00C73671">
        <w:rPr>
          <w:rFonts w:ascii="Times New Roman" w:hAnsi="Times New Roman" w:cs="Times New Roman"/>
          <w:sz w:val="24"/>
          <w:szCs w:val="24"/>
          <w:lang w:bidi="ar-SA"/>
        </w:rPr>
        <w:t xml:space="preserve"> par rapport au m</w:t>
      </w:r>
      <w:r w:rsidR="00146BB1">
        <w:rPr>
          <w:rFonts w:ascii="Times New Roman" w:hAnsi="Times New Roman" w:cs="Times New Roman"/>
          <w:sz w:val="24"/>
          <w:szCs w:val="24"/>
          <w:lang w:bidi="ar-SA"/>
        </w:rPr>
        <w:t>ois de mars (-9,3</w:t>
      </w:r>
      <w:r w:rsidRPr="00C73671">
        <w:rPr>
          <w:rFonts w:ascii="Times New Roman" w:hAnsi="Times New Roman" w:cs="Times New Roman"/>
          <w:sz w:val="24"/>
          <w:szCs w:val="24"/>
          <w:lang w:bidi="ar-SA"/>
        </w:rPr>
        <w:t xml:space="preserve">%). </w:t>
      </w:r>
    </w:p>
    <w:p w:rsidR="008C547A" w:rsidRPr="00C73671"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73671"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 Les </w:t>
      </w:r>
      <w:r w:rsidRPr="00C73671">
        <w:rPr>
          <w:rFonts w:ascii="Times New Roman" w:eastAsia="Times New Roman" w:hAnsi="Times New Roman" w:cs="Times New Roman"/>
          <w:color w:val="000000"/>
          <w:sz w:val="24"/>
          <w:szCs w:val="24"/>
          <w:lang w:val="af-ZA" w:bidi="ar-SA"/>
        </w:rPr>
        <w:t xml:space="preserve">produits de la </w:t>
      </w:r>
      <w:r w:rsidRPr="00C73671">
        <w:rPr>
          <w:rFonts w:ascii="Times New Roman" w:eastAsia="Times New Roman" w:hAnsi="Times New Roman" w:cs="Times New Roman"/>
          <w:color w:val="000000"/>
          <w:sz w:val="24"/>
          <w:szCs w:val="24"/>
          <w:lang w:bidi="ar-SA"/>
        </w:rPr>
        <w:t>pêche</w:t>
      </w:r>
      <w:r w:rsidRPr="00C73671">
        <w:rPr>
          <w:rFonts w:ascii="Times New Roman" w:eastAsia="Times New Roman" w:hAnsi="Times New Roman" w:cs="Times New Roman"/>
          <w:color w:val="000000"/>
          <w:sz w:val="24"/>
          <w:szCs w:val="24"/>
          <w:lang w:val="af-ZA" w:bidi="ar-SA"/>
        </w:rPr>
        <w:t xml:space="preserve"> (coutumière et artisanale)</w:t>
      </w:r>
      <w:r w:rsidRPr="00C73671">
        <w:rPr>
          <w:rFonts w:ascii="Times New Roman" w:hAnsi="Times New Roman" w:cs="Times New Roman"/>
          <w:sz w:val="24"/>
          <w:szCs w:val="24"/>
          <w:lang w:bidi="ar-SA"/>
        </w:rPr>
        <w:t xml:space="preserve"> enregistrent une variation en </w:t>
      </w:r>
      <w:r w:rsidR="00146BB1">
        <w:rPr>
          <w:rFonts w:ascii="Times New Roman" w:hAnsi="Times New Roman" w:cs="Times New Roman"/>
          <w:sz w:val="24"/>
          <w:szCs w:val="24"/>
          <w:lang w:bidi="ar-SA"/>
        </w:rPr>
        <w:t>augmentation de 23,5</w:t>
      </w:r>
      <w:r w:rsidRPr="00C73671">
        <w:rPr>
          <w:rFonts w:ascii="Times New Roman" w:hAnsi="Times New Roman" w:cs="Times New Roman"/>
          <w:sz w:val="24"/>
          <w:szCs w:val="24"/>
          <w:lang w:bidi="ar-SA"/>
        </w:rPr>
        <w:t>% pour ce m</w:t>
      </w:r>
      <w:r w:rsidR="00146BB1">
        <w:rPr>
          <w:rFonts w:ascii="Times New Roman" w:hAnsi="Times New Roman" w:cs="Times New Roman"/>
          <w:sz w:val="24"/>
          <w:szCs w:val="24"/>
          <w:lang w:bidi="ar-SA"/>
        </w:rPr>
        <w:t>ois contre une augmentation de 29,6</w:t>
      </w:r>
      <w:r>
        <w:rPr>
          <w:rFonts w:ascii="Times New Roman" w:hAnsi="Times New Roman" w:cs="Times New Roman"/>
          <w:sz w:val="24"/>
          <w:szCs w:val="24"/>
          <w:lang w:bidi="ar-SA"/>
        </w:rPr>
        <w:t>%</w:t>
      </w:r>
      <w:r w:rsidRPr="00C73671">
        <w:rPr>
          <w:rFonts w:ascii="Times New Roman" w:hAnsi="Times New Roman" w:cs="Times New Roman"/>
          <w:sz w:val="24"/>
          <w:szCs w:val="24"/>
          <w:lang w:bidi="ar-SA"/>
        </w:rPr>
        <w:t xml:space="preserve"> au mois précédent. </w:t>
      </w:r>
    </w:p>
    <w:p w:rsidR="008C547A" w:rsidRPr="00C73671"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73671" w:rsidRDefault="008C547A" w:rsidP="008C547A">
      <w:pPr>
        <w:jc w:val="both"/>
        <w:rPr>
          <w:rFonts w:ascii="Times New Roman" w:hAnsi="Times New Roman" w:cs="Times New Roman"/>
          <w:b/>
          <w:bCs/>
          <w:sz w:val="24"/>
          <w:szCs w:val="24"/>
          <w:lang w:bidi="ar-SA"/>
        </w:rPr>
      </w:pPr>
    </w:p>
    <w:p w:rsidR="008C547A" w:rsidRDefault="008C547A" w:rsidP="008C547A">
      <w:pPr>
        <w:jc w:val="both"/>
        <w:rPr>
          <w:rFonts w:ascii="Times New Roman" w:hAnsi="Times New Roman" w:cs="Times New Roman"/>
          <w:b/>
          <w:bCs/>
          <w:sz w:val="24"/>
          <w:szCs w:val="24"/>
          <w:lang w:bidi="ar-SA"/>
        </w:rPr>
      </w:pPr>
    </w:p>
    <w:p w:rsidR="008C547A" w:rsidRDefault="008C547A" w:rsidP="008C547A">
      <w:pPr>
        <w:jc w:val="both"/>
        <w:rPr>
          <w:rFonts w:ascii="Times New Roman" w:hAnsi="Times New Roman" w:cs="Times New Roman"/>
          <w:b/>
          <w:bCs/>
          <w:sz w:val="24"/>
          <w:szCs w:val="24"/>
          <w:lang w:bidi="ar-SA"/>
        </w:rPr>
      </w:pPr>
    </w:p>
    <w:p w:rsidR="008C547A" w:rsidRPr="00C73671" w:rsidRDefault="008C547A" w:rsidP="008C547A">
      <w:pPr>
        <w:jc w:val="both"/>
        <w:rPr>
          <w:rFonts w:ascii="Times New Roman" w:hAnsi="Times New Roman" w:cs="Times New Roman"/>
          <w:b/>
          <w:bCs/>
          <w:sz w:val="24"/>
          <w:szCs w:val="24"/>
          <w:lang w:bidi="ar-SA"/>
        </w:rPr>
      </w:pPr>
    </w:p>
    <w:p w:rsidR="008C547A" w:rsidRPr="00C73671" w:rsidRDefault="008C547A" w:rsidP="008C547A">
      <w:pPr>
        <w:jc w:val="both"/>
        <w:rPr>
          <w:rFonts w:ascii="Times New Roman" w:hAnsi="Times New Roman" w:cs="Times New Roman"/>
          <w:b/>
          <w:sz w:val="24"/>
          <w:szCs w:val="24"/>
        </w:rPr>
      </w:pPr>
      <w:r w:rsidRPr="00C73671">
        <w:rPr>
          <w:rFonts w:ascii="Times New Roman" w:hAnsi="Times New Roman" w:cs="Times New Roman"/>
          <w:b/>
          <w:bCs/>
          <w:sz w:val="24"/>
          <w:szCs w:val="24"/>
          <w:lang w:bidi="ar-SA"/>
        </w:rPr>
        <w:lastRenderedPageBreak/>
        <w:t>Evolution trimestrielle des prix des produits agricoles</w:t>
      </w:r>
    </w:p>
    <w:p w:rsidR="008C547A" w:rsidRPr="00C73671" w:rsidRDefault="008C547A" w:rsidP="008C547A">
      <w:pPr>
        <w:autoSpaceDE w:val="0"/>
        <w:autoSpaceDN w:val="0"/>
        <w:adjustRightInd w:val="0"/>
        <w:spacing w:before="0" w:after="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Au cours du trim</w:t>
      </w:r>
      <w:r w:rsidR="00146BB1">
        <w:rPr>
          <w:rFonts w:ascii="Times New Roman" w:hAnsi="Times New Roman" w:cs="Times New Roman"/>
          <w:sz w:val="24"/>
          <w:szCs w:val="24"/>
          <w:lang w:bidi="ar-SA"/>
        </w:rPr>
        <w:t>estre ayant pris fin en avril</w:t>
      </w:r>
      <w:r>
        <w:rPr>
          <w:rFonts w:ascii="Times New Roman" w:hAnsi="Times New Roman" w:cs="Times New Roman"/>
          <w:sz w:val="24"/>
          <w:szCs w:val="24"/>
          <w:lang w:bidi="ar-SA"/>
        </w:rPr>
        <w:t xml:space="preserve"> 2023</w:t>
      </w:r>
      <w:r w:rsidRPr="00C73671">
        <w:rPr>
          <w:rFonts w:ascii="Times New Roman" w:hAnsi="Times New Roman" w:cs="Times New Roman"/>
          <w:sz w:val="24"/>
          <w:szCs w:val="24"/>
          <w:lang w:bidi="ar-SA"/>
        </w:rPr>
        <w:t>, les prix des produit</w:t>
      </w:r>
      <w:r>
        <w:rPr>
          <w:rFonts w:ascii="Times New Roman" w:hAnsi="Times New Roman" w:cs="Times New Roman"/>
          <w:sz w:val="24"/>
          <w:szCs w:val="24"/>
          <w:lang w:bidi="ar-SA"/>
        </w:rPr>
        <w:t xml:space="preserve">s enregistrent </w:t>
      </w:r>
      <w:r w:rsidR="00146BB1">
        <w:rPr>
          <w:rFonts w:ascii="Times New Roman" w:hAnsi="Times New Roman" w:cs="Times New Roman"/>
          <w:sz w:val="24"/>
          <w:szCs w:val="24"/>
          <w:lang w:bidi="ar-SA"/>
        </w:rPr>
        <w:t>une hausse de 7,1</w:t>
      </w:r>
      <w:r w:rsidRPr="00C73671">
        <w:rPr>
          <w:rFonts w:ascii="Times New Roman" w:hAnsi="Times New Roman" w:cs="Times New Roman"/>
          <w:sz w:val="24"/>
          <w:szCs w:val="24"/>
          <w:lang w:bidi="ar-SA"/>
        </w:rPr>
        <w:t xml:space="preserve"> % par rapport au trimestre précédent.</w:t>
      </w:r>
    </w:p>
    <w:p w:rsidR="008C547A" w:rsidRPr="00C73671" w:rsidRDefault="00146BB1" w:rsidP="008C547A">
      <w:pPr>
        <w:autoSpaceDE w:val="0"/>
        <w:autoSpaceDN w:val="0"/>
        <w:adjustRightInd w:val="0"/>
        <w:spacing w:before="0" w:after="0"/>
        <w:jc w:val="both"/>
        <w:rPr>
          <w:rFonts w:ascii="Times New Roman" w:hAnsi="Times New Roman" w:cs="Times New Roman"/>
          <w:sz w:val="24"/>
          <w:szCs w:val="24"/>
          <w:lang w:bidi="ar-SA"/>
        </w:rPr>
      </w:pPr>
      <w:r>
        <w:rPr>
          <w:rFonts w:ascii="Times New Roman" w:hAnsi="Times New Roman" w:cs="Times New Roman"/>
          <w:sz w:val="24"/>
          <w:szCs w:val="24"/>
          <w:lang w:bidi="ar-SA"/>
        </w:rPr>
        <w:t>Deux classes de produits ont</w:t>
      </w:r>
      <w:r w:rsidR="008C547A">
        <w:rPr>
          <w:rFonts w:ascii="Times New Roman" w:hAnsi="Times New Roman" w:cs="Times New Roman"/>
          <w:sz w:val="24"/>
          <w:szCs w:val="24"/>
          <w:lang w:bidi="ar-SA"/>
        </w:rPr>
        <w:t xml:space="preserve"> manifesté une</w:t>
      </w:r>
      <w:r w:rsidR="008C547A" w:rsidRPr="00C73671">
        <w:rPr>
          <w:rFonts w:ascii="Times New Roman" w:hAnsi="Times New Roman" w:cs="Times New Roman"/>
          <w:sz w:val="24"/>
          <w:szCs w:val="24"/>
          <w:lang w:bidi="ar-SA"/>
        </w:rPr>
        <w:t xml:space="preserve"> va</w:t>
      </w:r>
      <w:r w:rsidR="008C547A">
        <w:rPr>
          <w:rFonts w:ascii="Times New Roman" w:hAnsi="Times New Roman" w:cs="Times New Roman"/>
          <w:sz w:val="24"/>
          <w:szCs w:val="24"/>
          <w:lang w:bidi="ar-SA"/>
        </w:rPr>
        <w:t xml:space="preserve">riation en diminution : </w:t>
      </w:r>
      <w:r>
        <w:rPr>
          <w:rFonts w:ascii="Times New Roman" w:hAnsi="Times New Roman" w:cs="Times New Roman"/>
          <w:sz w:val="24"/>
          <w:szCs w:val="24"/>
          <w:lang w:bidi="ar-SA"/>
        </w:rPr>
        <w:t xml:space="preserve">les céréales (-2,4) et </w:t>
      </w:r>
      <w:r w:rsidR="008C547A" w:rsidRPr="00C73671">
        <w:rPr>
          <w:rFonts w:ascii="Times New Roman" w:hAnsi="Times New Roman" w:cs="Times New Roman"/>
          <w:sz w:val="24"/>
          <w:szCs w:val="24"/>
          <w:lang w:bidi="ar-SA"/>
        </w:rPr>
        <w:t>les légume</w:t>
      </w:r>
      <w:r>
        <w:rPr>
          <w:rFonts w:ascii="Times New Roman" w:hAnsi="Times New Roman" w:cs="Times New Roman"/>
          <w:sz w:val="24"/>
          <w:szCs w:val="24"/>
          <w:lang w:bidi="ar-SA"/>
        </w:rPr>
        <w:t>s frais (-4,6</w:t>
      </w:r>
      <w:r w:rsidR="008C547A">
        <w:rPr>
          <w:rFonts w:ascii="Times New Roman" w:hAnsi="Times New Roman" w:cs="Times New Roman"/>
          <w:sz w:val="24"/>
          <w:szCs w:val="24"/>
          <w:lang w:bidi="ar-SA"/>
        </w:rPr>
        <w:t>%)</w:t>
      </w:r>
      <w:r w:rsidR="008C547A" w:rsidRPr="00C73671">
        <w:rPr>
          <w:rFonts w:ascii="Times New Roman" w:hAnsi="Times New Roman" w:cs="Times New Roman"/>
          <w:sz w:val="24"/>
          <w:szCs w:val="24"/>
          <w:lang w:bidi="ar-SA"/>
        </w:rPr>
        <w:t>.  Les autres classes de produits ont subi des variations en augmentation (voir les tableaux en annexe).</w:t>
      </w:r>
    </w:p>
    <w:p w:rsidR="008C547A" w:rsidRPr="00C73671"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73671"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r w:rsidRPr="00C73671">
        <w:rPr>
          <w:rFonts w:ascii="Times New Roman" w:hAnsi="Times New Roman" w:cs="Times New Roman"/>
          <w:b/>
          <w:bCs/>
          <w:sz w:val="24"/>
          <w:szCs w:val="24"/>
          <w:lang w:bidi="ar-SA"/>
        </w:rPr>
        <w:t>Evolution annuelle des prix des produits agricoles</w:t>
      </w:r>
    </w:p>
    <w:p w:rsidR="008C547A" w:rsidRPr="00C73671"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Default="008C547A" w:rsidP="008C547A">
      <w:pPr>
        <w:autoSpaceDE w:val="0"/>
        <w:autoSpaceDN w:val="0"/>
        <w:adjustRightInd w:val="0"/>
        <w:spacing w:before="0" w:after="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En glissement annuel, l’évolution des</w:t>
      </w:r>
      <w:r w:rsidRPr="00C73671">
        <w:rPr>
          <w:rFonts w:ascii="Times New Roman" w:hAnsi="Times New Roman" w:cs="Times New Roman"/>
          <w:bCs/>
          <w:sz w:val="24"/>
          <w:szCs w:val="24"/>
          <w:lang w:bidi="ar-SA"/>
        </w:rPr>
        <w:t xml:space="preserve"> prix des produits agricoles</w:t>
      </w:r>
      <w:r w:rsidRPr="00C73671">
        <w:rPr>
          <w:rFonts w:ascii="Times New Roman" w:hAnsi="Times New Roman" w:cs="Times New Roman"/>
          <w:sz w:val="24"/>
          <w:szCs w:val="24"/>
          <w:lang w:bidi="ar-SA"/>
        </w:rPr>
        <w:t xml:space="preserve"> observe une augmentati</w:t>
      </w:r>
      <w:r w:rsidR="000007F6">
        <w:rPr>
          <w:rFonts w:ascii="Times New Roman" w:hAnsi="Times New Roman" w:cs="Times New Roman"/>
          <w:sz w:val="24"/>
          <w:szCs w:val="24"/>
          <w:lang w:bidi="ar-SA"/>
        </w:rPr>
        <w:t>on de 31,7 % le mois d’avril</w:t>
      </w:r>
      <w:r>
        <w:rPr>
          <w:rFonts w:ascii="Times New Roman" w:hAnsi="Times New Roman" w:cs="Times New Roman"/>
          <w:sz w:val="24"/>
          <w:szCs w:val="24"/>
          <w:lang w:bidi="ar-SA"/>
        </w:rPr>
        <w:t xml:space="preserve"> 2023</w:t>
      </w:r>
      <w:r w:rsidR="000007F6">
        <w:rPr>
          <w:rFonts w:ascii="Times New Roman" w:hAnsi="Times New Roman" w:cs="Times New Roman"/>
          <w:sz w:val="24"/>
          <w:szCs w:val="24"/>
          <w:lang w:bidi="ar-SA"/>
        </w:rPr>
        <w:t xml:space="preserve"> contre une augmentation de 36,9</w:t>
      </w:r>
      <w:r w:rsidRPr="00C73671">
        <w:rPr>
          <w:rFonts w:ascii="Times New Roman" w:hAnsi="Times New Roman" w:cs="Times New Roman"/>
          <w:sz w:val="24"/>
          <w:szCs w:val="24"/>
          <w:lang w:bidi="ar-SA"/>
        </w:rPr>
        <w:t>% au mois précédent.</w:t>
      </w:r>
    </w:p>
    <w:p w:rsidR="008C547A" w:rsidRPr="00C73671" w:rsidRDefault="008C547A" w:rsidP="008C547A">
      <w:pPr>
        <w:autoSpaceDE w:val="0"/>
        <w:autoSpaceDN w:val="0"/>
        <w:adjustRightInd w:val="0"/>
        <w:spacing w:before="0" w:after="0"/>
        <w:jc w:val="both"/>
        <w:rPr>
          <w:rFonts w:ascii="Times New Roman" w:hAnsi="Times New Roman" w:cs="Times New Roman"/>
          <w:sz w:val="24"/>
          <w:szCs w:val="24"/>
          <w:lang w:bidi="ar-SA"/>
        </w:rPr>
      </w:pPr>
    </w:p>
    <w:p w:rsidR="008C547A" w:rsidRPr="00C73671" w:rsidRDefault="008C547A" w:rsidP="008C547A">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Les céréales enregistrent une hausse de </w:t>
      </w:r>
      <w:r w:rsidR="000007F6">
        <w:rPr>
          <w:rFonts w:ascii="Times New Roman" w:eastAsia="Times New Roman" w:hAnsi="Times New Roman" w:cs="Times New Roman"/>
          <w:sz w:val="24"/>
          <w:szCs w:val="24"/>
          <w:lang w:bidi="ar-SA"/>
        </w:rPr>
        <w:t>67,3</w:t>
      </w:r>
      <w:r w:rsidRPr="00C73671">
        <w:rPr>
          <w:rFonts w:ascii="Times New Roman" w:eastAsia="Times New Roman" w:hAnsi="Times New Roman" w:cs="Times New Roman"/>
          <w:sz w:val="24"/>
          <w:szCs w:val="24"/>
          <w:lang w:bidi="ar-SA"/>
        </w:rPr>
        <w:t xml:space="preserve"> </w:t>
      </w:r>
      <w:r w:rsidRPr="00C73671">
        <w:rPr>
          <w:rFonts w:ascii="Times New Roman" w:hAnsi="Times New Roman" w:cs="Times New Roman"/>
          <w:sz w:val="24"/>
          <w:szCs w:val="24"/>
          <w:lang w:bidi="ar-SA"/>
        </w:rPr>
        <w:t>% contr</w:t>
      </w:r>
      <w:r w:rsidR="000007F6">
        <w:rPr>
          <w:rFonts w:ascii="Times New Roman" w:hAnsi="Times New Roman" w:cs="Times New Roman"/>
          <w:sz w:val="24"/>
          <w:szCs w:val="24"/>
          <w:lang w:bidi="ar-SA"/>
        </w:rPr>
        <w:t>e une hausse de 92,2</w:t>
      </w:r>
      <w:r w:rsidRPr="00C73671">
        <w:rPr>
          <w:rFonts w:ascii="Times New Roman" w:hAnsi="Times New Roman" w:cs="Times New Roman"/>
          <w:sz w:val="24"/>
          <w:szCs w:val="24"/>
          <w:lang w:bidi="ar-SA"/>
        </w:rPr>
        <w:t>% par rapport au mois précédent.</w:t>
      </w:r>
    </w:p>
    <w:p w:rsidR="008C547A" w:rsidRPr="00C73671" w:rsidRDefault="008C547A" w:rsidP="008C547A">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Les tubercules et les racines ont connu une augmentation de </w:t>
      </w:r>
      <w:r w:rsidR="000007F6">
        <w:rPr>
          <w:rFonts w:ascii="Times New Roman" w:eastAsia="Times New Roman" w:hAnsi="Times New Roman" w:cs="Times New Roman"/>
          <w:sz w:val="24"/>
          <w:szCs w:val="24"/>
          <w:lang w:bidi="ar-SA"/>
        </w:rPr>
        <w:t>39,6</w:t>
      </w:r>
      <w:r w:rsidRPr="00C73671">
        <w:rPr>
          <w:rFonts w:ascii="Times New Roman" w:eastAsia="Times New Roman" w:hAnsi="Times New Roman" w:cs="Times New Roman"/>
          <w:sz w:val="24"/>
          <w:szCs w:val="24"/>
          <w:lang w:bidi="ar-SA"/>
        </w:rPr>
        <w:t xml:space="preserve"> </w:t>
      </w:r>
      <w:r w:rsidRPr="00C73671">
        <w:rPr>
          <w:rFonts w:ascii="Times New Roman" w:hAnsi="Times New Roman" w:cs="Times New Roman"/>
          <w:sz w:val="24"/>
          <w:szCs w:val="24"/>
          <w:lang w:bidi="ar-SA"/>
        </w:rPr>
        <w:t>%</w:t>
      </w:r>
      <w:r w:rsidR="000007F6">
        <w:rPr>
          <w:rFonts w:ascii="Times New Roman" w:hAnsi="Times New Roman" w:cs="Times New Roman"/>
          <w:sz w:val="24"/>
          <w:szCs w:val="24"/>
          <w:lang w:bidi="ar-SA"/>
        </w:rPr>
        <w:t xml:space="preserve"> contre une augmentation de </w:t>
      </w:r>
      <w:r>
        <w:rPr>
          <w:rFonts w:ascii="Times New Roman" w:hAnsi="Times New Roman" w:cs="Times New Roman"/>
          <w:sz w:val="24"/>
          <w:szCs w:val="24"/>
          <w:lang w:bidi="ar-SA"/>
        </w:rPr>
        <w:t>4</w:t>
      </w:r>
      <w:r w:rsidR="000007F6">
        <w:rPr>
          <w:rFonts w:ascii="Times New Roman" w:hAnsi="Times New Roman" w:cs="Times New Roman"/>
          <w:sz w:val="24"/>
          <w:szCs w:val="24"/>
          <w:lang w:bidi="ar-SA"/>
        </w:rPr>
        <w:t>7</w:t>
      </w:r>
      <w:r>
        <w:rPr>
          <w:rFonts w:ascii="Times New Roman" w:hAnsi="Times New Roman" w:cs="Times New Roman"/>
          <w:sz w:val="24"/>
          <w:szCs w:val="24"/>
          <w:lang w:bidi="ar-SA"/>
        </w:rPr>
        <w:t>,</w:t>
      </w:r>
      <w:r w:rsidR="000007F6">
        <w:rPr>
          <w:rFonts w:ascii="Times New Roman" w:hAnsi="Times New Roman" w:cs="Times New Roman"/>
          <w:sz w:val="24"/>
          <w:szCs w:val="24"/>
          <w:lang w:bidi="ar-SA"/>
        </w:rPr>
        <w:t>9</w:t>
      </w:r>
      <w:r w:rsidRPr="00C73671">
        <w:rPr>
          <w:rFonts w:ascii="Times New Roman" w:hAnsi="Times New Roman" w:cs="Times New Roman"/>
          <w:sz w:val="24"/>
          <w:szCs w:val="24"/>
          <w:lang w:bidi="ar-SA"/>
        </w:rPr>
        <w:t>% par rapport au mois précédent.</w:t>
      </w:r>
    </w:p>
    <w:p w:rsidR="008C547A" w:rsidRPr="00C73671" w:rsidRDefault="008C547A" w:rsidP="008C547A">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La classe des légumineuses a connu une hausse de </w:t>
      </w:r>
      <w:r w:rsidR="000007F6">
        <w:rPr>
          <w:rFonts w:ascii="Times New Roman" w:eastAsia="Times New Roman" w:hAnsi="Times New Roman" w:cs="Times New Roman"/>
          <w:sz w:val="24"/>
          <w:szCs w:val="24"/>
          <w:lang w:bidi="ar-SA"/>
        </w:rPr>
        <w:t>54,0</w:t>
      </w:r>
      <w:r w:rsidRPr="00C73671">
        <w:rPr>
          <w:rFonts w:ascii="Times New Roman" w:eastAsia="Times New Roman" w:hAnsi="Times New Roman" w:cs="Times New Roman"/>
          <w:sz w:val="24"/>
          <w:szCs w:val="24"/>
          <w:lang w:bidi="ar-SA"/>
        </w:rPr>
        <w:t xml:space="preserve"> </w:t>
      </w:r>
      <w:r w:rsidRPr="00C73671">
        <w:rPr>
          <w:rFonts w:ascii="Times New Roman" w:hAnsi="Times New Roman" w:cs="Times New Roman"/>
          <w:sz w:val="24"/>
          <w:szCs w:val="24"/>
          <w:lang w:bidi="ar-SA"/>
        </w:rPr>
        <w:t>% contre une h</w:t>
      </w:r>
      <w:r w:rsidR="000007F6">
        <w:rPr>
          <w:rFonts w:ascii="Times New Roman" w:hAnsi="Times New Roman" w:cs="Times New Roman"/>
          <w:sz w:val="24"/>
          <w:szCs w:val="24"/>
          <w:lang w:bidi="ar-SA"/>
        </w:rPr>
        <w:t>ausse de 86,3</w:t>
      </w:r>
      <w:r w:rsidRPr="00C73671">
        <w:rPr>
          <w:rFonts w:ascii="Times New Roman" w:hAnsi="Times New Roman" w:cs="Times New Roman"/>
          <w:sz w:val="24"/>
          <w:szCs w:val="24"/>
          <w:lang w:bidi="ar-SA"/>
        </w:rPr>
        <w:t>% par rapport au mois précédent.</w:t>
      </w:r>
    </w:p>
    <w:p w:rsidR="008C547A" w:rsidRPr="00C73671" w:rsidRDefault="008C547A" w:rsidP="008C547A">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La banane a connu une hausse de </w:t>
      </w:r>
      <w:r w:rsidR="000007F6">
        <w:rPr>
          <w:rFonts w:ascii="Times New Roman" w:eastAsia="Times New Roman" w:hAnsi="Times New Roman" w:cs="Times New Roman"/>
          <w:sz w:val="24"/>
          <w:szCs w:val="24"/>
          <w:lang w:bidi="ar-SA"/>
        </w:rPr>
        <w:t>37,7</w:t>
      </w:r>
      <w:bookmarkStart w:id="0" w:name="_GoBack"/>
      <w:bookmarkEnd w:id="0"/>
      <w:r w:rsidRPr="00C73671">
        <w:rPr>
          <w:rFonts w:ascii="Times New Roman" w:eastAsia="Times New Roman" w:hAnsi="Times New Roman" w:cs="Times New Roman"/>
          <w:sz w:val="24"/>
          <w:szCs w:val="24"/>
          <w:lang w:bidi="ar-SA"/>
        </w:rPr>
        <w:t xml:space="preserve"> </w:t>
      </w:r>
      <w:r w:rsidR="000007F6">
        <w:rPr>
          <w:rFonts w:ascii="Times New Roman" w:hAnsi="Times New Roman" w:cs="Times New Roman"/>
          <w:sz w:val="24"/>
          <w:szCs w:val="24"/>
          <w:lang w:bidi="ar-SA"/>
        </w:rPr>
        <w:t>% contre une hausse de 41,5</w:t>
      </w:r>
      <w:r w:rsidRPr="00C73671">
        <w:rPr>
          <w:rFonts w:ascii="Times New Roman" w:hAnsi="Times New Roman" w:cs="Times New Roman"/>
          <w:sz w:val="24"/>
          <w:szCs w:val="24"/>
          <w:lang w:bidi="ar-SA"/>
        </w:rPr>
        <w:t xml:space="preserve">% par rapport au mois précédent. </w:t>
      </w:r>
    </w:p>
    <w:p w:rsidR="008C547A" w:rsidRPr="00C73671"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2"/>
          <w:szCs w:val="22"/>
          <w:lang w:bidi="ar-SA"/>
        </w:rPr>
      </w:pPr>
    </w:p>
    <w:p w:rsidR="008C547A" w:rsidRPr="00C73671"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2"/>
          <w:szCs w:val="22"/>
          <w:lang w:bidi="ar-SA"/>
        </w:rPr>
      </w:pPr>
    </w:p>
    <w:p w:rsidR="008C547A" w:rsidRPr="00597E27" w:rsidRDefault="008C547A" w:rsidP="008C547A">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8C547A" w:rsidRPr="00597E27" w:rsidRDefault="008C547A" w:rsidP="008C547A">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8C547A" w:rsidRPr="00597E27" w:rsidRDefault="008C547A" w:rsidP="008C547A">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8C547A" w:rsidRPr="00597E27" w:rsidRDefault="008C547A" w:rsidP="008C547A">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8C547A" w:rsidRPr="00597E27" w:rsidRDefault="008C547A" w:rsidP="008C547A">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8C547A" w:rsidRDefault="008C547A" w:rsidP="008C547A">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8C547A" w:rsidRPr="00597E27" w:rsidRDefault="008C547A" w:rsidP="008C547A">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8C547A" w:rsidRDefault="008C547A" w:rsidP="008C547A">
      <w:pPr>
        <w:spacing w:before="0" w:after="0" w:line="240" w:lineRule="auto"/>
        <w:jc w:val="both"/>
        <w:rPr>
          <w:rFonts w:ascii="Tahoma" w:hAnsi="Tahoma" w:cs="Tahoma"/>
          <w:b/>
          <w:bCs/>
          <w:sz w:val="24"/>
          <w:szCs w:val="24"/>
          <w:lang w:bidi="ar-SA"/>
        </w:rPr>
      </w:pPr>
    </w:p>
    <w:p w:rsidR="008C547A" w:rsidRDefault="008C547A" w:rsidP="008C547A">
      <w:pPr>
        <w:spacing w:before="0" w:after="0" w:line="240" w:lineRule="auto"/>
        <w:jc w:val="both"/>
        <w:rPr>
          <w:rFonts w:ascii="Tahoma" w:hAnsi="Tahoma" w:cs="Tahoma"/>
          <w:b/>
          <w:bCs/>
          <w:sz w:val="24"/>
          <w:szCs w:val="24"/>
          <w:lang w:bidi="ar-SA"/>
        </w:rPr>
      </w:pPr>
    </w:p>
    <w:p w:rsidR="008C547A" w:rsidRDefault="008C547A" w:rsidP="008C547A">
      <w:pPr>
        <w:spacing w:before="0" w:after="0" w:line="240" w:lineRule="auto"/>
        <w:jc w:val="both"/>
        <w:rPr>
          <w:rFonts w:ascii="Tahoma" w:hAnsi="Tahoma" w:cs="Tahoma"/>
          <w:b/>
          <w:bCs/>
          <w:sz w:val="24"/>
          <w:szCs w:val="24"/>
          <w:lang w:bidi="ar-SA"/>
        </w:rPr>
      </w:pPr>
    </w:p>
    <w:p w:rsidR="008C547A" w:rsidRDefault="008C547A" w:rsidP="008C547A">
      <w:pPr>
        <w:spacing w:before="0" w:after="0" w:line="240" w:lineRule="auto"/>
        <w:jc w:val="both"/>
        <w:rPr>
          <w:rFonts w:ascii="Tahoma" w:hAnsi="Tahoma" w:cs="Tahoma"/>
          <w:b/>
          <w:bCs/>
          <w:sz w:val="24"/>
          <w:szCs w:val="24"/>
          <w:lang w:bidi="ar-SA"/>
        </w:rPr>
      </w:pPr>
    </w:p>
    <w:p w:rsidR="008C547A" w:rsidRDefault="008C547A" w:rsidP="008C547A">
      <w:pPr>
        <w:spacing w:before="0" w:after="0" w:line="240" w:lineRule="auto"/>
        <w:jc w:val="both"/>
        <w:rPr>
          <w:rFonts w:ascii="Tahoma" w:hAnsi="Tahoma" w:cs="Tahoma"/>
          <w:b/>
          <w:bCs/>
          <w:sz w:val="24"/>
          <w:szCs w:val="24"/>
          <w:lang w:bidi="ar-SA"/>
        </w:rPr>
      </w:pPr>
    </w:p>
    <w:p w:rsidR="008C547A" w:rsidRPr="00C73671" w:rsidRDefault="008C547A" w:rsidP="008C547A">
      <w:pPr>
        <w:spacing w:before="0" w:after="0" w:line="240" w:lineRule="auto"/>
        <w:jc w:val="both"/>
        <w:rPr>
          <w:rFonts w:ascii="Times New Roman" w:eastAsia="Times New Roman" w:hAnsi="Times New Roman" w:cs="Times New Roman"/>
          <w:b/>
          <w:color w:val="000000"/>
          <w:sz w:val="24"/>
          <w:szCs w:val="24"/>
          <w:lang w:bidi="ar-SA"/>
        </w:rPr>
      </w:pPr>
      <w:r w:rsidRPr="00C73671">
        <w:rPr>
          <w:rFonts w:ascii="Times New Roman" w:hAnsi="Times New Roman" w:cs="Times New Roman"/>
          <w:b/>
          <w:bCs/>
          <w:sz w:val="24"/>
          <w:szCs w:val="24"/>
          <w:lang w:bidi="ar-SA"/>
        </w:rPr>
        <w:lastRenderedPageBreak/>
        <w:t>Graphique 1 : Evolution de l’indice des prix des céréales, des légumineuses,</w:t>
      </w:r>
      <w:r w:rsidRPr="00C73671">
        <w:rPr>
          <w:rFonts w:ascii="Times New Roman" w:eastAsia="Times New Roman" w:hAnsi="Times New Roman" w:cs="Times New Roman"/>
          <w:b/>
          <w:color w:val="000000"/>
          <w:sz w:val="24"/>
          <w:szCs w:val="24"/>
          <w:lang w:bidi="ar-SA"/>
        </w:rPr>
        <w:t xml:space="preserve"> des plantes oléagineuses, des tubercules/racines et des cultures industrielles</w:t>
      </w:r>
    </w:p>
    <w:p w:rsidR="008C547A" w:rsidRPr="00857793" w:rsidRDefault="00B324CE" w:rsidP="008C547A">
      <w:pPr>
        <w:pStyle w:val="Paragraphedeliste"/>
        <w:tabs>
          <w:tab w:val="left" w:pos="426"/>
        </w:tabs>
        <w:spacing w:before="120" w:after="0" w:line="240" w:lineRule="auto"/>
        <w:ind w:left="0"/>
        <w:contextualSpacing w:val="0"/>
        <w:jc w:val="both"/>
        <w:rPr>
          <w:rFonts w:ascii="Tahoma" w:hAnsi="Tahoma" w:cs="Tahoma"/>
          <w:b/>
          <w:bCs/>
          <w:sz w:val="22"/>
          <w:szCs w:val="22"/>
          <w:lang w:bidi="ar-SA"/>
        </w:rPr>
      </w:pPr>
      <w:r>
        <w:rPr>
          <w:noProof/>
          <w:lang w:val="en-US" w:bidi="ar-SA"/>
        </w:rPr>
        <w:drawing>
          <wp:inline distT="0" distB="0" distL="0" distR="0" wp14:anchorId="7B858966" wp14:editId="3291B7F9">
            <wp:extent cx="5715001" cy="3209925"/>
            <wp:effectExtent l="0" t="0" r="0" b="9525"/>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C547A" w:rsidRDefault="008C547A" w:rsidP="008C547A">
      <w:pPr>
        <w:spacing w:before="0" w:after="0" w:line="240" w:lineRule="auto"/>
        <w:jc w:val="both"/>
        <w:rPr>
          <w:rFonts w:ascii="Tahoma" w:hAnsi="Tahoma" w:cs="Tahoma"/>
          <w:b/>
          <w:bCs/>
          <w:sz w:val="24"/>
          <w:szCs w:val="24"/>
          <w:lang w:bidi="ar-SA"/>
        </w:rPr>
      </w:pPr>
    </w:p>
    <w:p w:rsidR="008C547A" w:rsidRPr="00C73671" w:rsidRDefault="008C547A" w:rsidP="008C547A">
      <w:pPr>
        <w:spacing w:before="0" w:after="0" w:line="240" w:lineRule="auto"/>
        <w:jc w:val="both"/>
        <w:rPr>
          <w:rFonts w:ascii="Times New Roman" w:eastAsia="Times New Roman" w:hAnsi="Times New Roman" w:cs="Times New Roman"/>
          <w:b/>
          <w:color w:val="000000"/>
          <w:sz w:val="24"/>
          <w:szCs w:val="24"/>
          <w:lang w:bidi="ar-SA"/>
        </w:rPr>
      </w:pPr>
      <w:r w:rsidRPr="00C73671">
        <w:rPr>
          <w:rFonts w:ascii="Times New Roman" w:hAnsi="Times New Roman" w:cs="Times New Roman"/>
          <w:b/>
          <w:bCs/>
          <w:sz w:val="24"/>
          <w:szCs w:val="24"/>
          <w:lang w:bidi="ar-SA"/>
        </w:rPr>
        <w:t>Graphique 2 : Evolution de l’indice des prix des légumes frais, des bananes,</w:t>
      </w:r>
      <w:r w:rsidRPr="00C73671">
        <w:rPr>
          <w:rFonts w:ascii="Times New Roman" w:eastAsia="Times New Roman" w:hAnsi="Times New Roman" w:cs="Times New Roman"/>
          <w:b/>
          <w:color w:val="000000"/>
          <w:sz w:val="24"/>
          <w:szCs w:val="24"/>
          <w:lang w:bidi="ar-SA"/>
        </w:rPr>
        <w:t xml:space="preserve"> des fruits frais ; des produits de la sylviculture et des </w:t>
      </w:r>
      <w:r w:rsidRPr="00C73671">
        <w:rPr>
          <w:rFonts w:ascii="Times New Roman" w:hAnsi="Times New Roman" w:cs="Times New Roman"/>
          <w:b/>
          <w:sz w:val="24"/>
          <w:szCs w:val="24"/>
        </w:rPr>
        <w:t>produits</w:t>
      </w:r>
      <w:r w:rsidRPr="00C73671">
        <w:rPr>
          <w:rFonts w:ascii="Times New Roman" w:eastAsia="Times New Roman" w:hAnsi="Times New Roman" w:cs="Times New Roman"/>
          <w:b/>
          <w:color w:val="000000"/>
          <w:sz w:val="24"/>
          <w:szCs w:val="24"/>
          <w:lang w:bidi="ar-SA"/>
        </w:rPr>
        <w:t xml:space="preserve"> de la pêche (coutumière et artisanale)</w:t>
      </w:r>
    </w:p>
    <w:p w:rsidR="008C547A" w:rsidRPr="00332C07" w:rsidRDefault="008C547A" w:rsidP="008C547A">
      <w:pPr>
        <w:spacing w:before="0" w:after="0" w:line="240" w:lineRule="auto"/>
        <w:jc w:val="both"/>
        <w:rPr>
          <w:rFonts w:ascii="Tahoma" w:eastAsia="Times New Roman" w:hAnsi="Tahoma" w:cs="Tahoma"/>
          <w:b/>
          <w:color w:val="000000"/>
          <w:sz w:val="24"/>
          <w:szCs w:val="24"/>
          <w:lang w:bidi="ar-SA"/>
        </w:rPr>
      </w:pPr>
    </w:p>
    <w:p w:rsidR="008C547A" w:rsidRDefault="00B324CE" w:rsidP="008C547A">
      <w:pPr>
        <w:spacing w:before="0" w:after="0" w:line="240" w:lineRule="auto"/>
        <w:jc w:val="both"/>
        <w:rPr>
          <w:rFonts w:ascii="Tahoma" w:hAnsi="Tahoma" w:cs="Tahoma"/>
          <w:b/>
          <w:bCs/>
          <w:sz w:val="24"/>
          <w:szCs w:val="24"/>
          <w:lang w:bidi="ar-SA"/>
        </w:rPr>
      </w:pPr>
      <w:r>
        <w:rPr>
          <w:noProof/>
          <w:lang w:val="en-US" w:bidi="ar-SA"/>
        </w:rPr>
        <w:drawing>
          <wp:inline distT="0" distB="0" distL="0" distR="0" wp14:anchorId="535210C3" wp14:editId="09AA9B7E">
            <wp:extent cx="6209969" cy="2639060"/>
            <wp:effectExtent l="0" t="0" r="635" b="8890"/>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C547A" w:rsidRDefault="008C547A" w:rsidP="008C547A">
      <w:pPr>
        <w:spacing w:before="0" w:after="0" w:line="240" w:lineRule="auto"/>
        <w:jc w:val="both"/>
        <w:rPr>
          <w:rFonts w:ascii="Tahoma" w:hAnsi="Tahoma" w:cs="Tahoma"/>
          <w:b/>
          <w:bCs/>
          <w:sz w:val="24"/>
          <w:szCs w:val="24"/>
          <w:lang w:bidi="ar-SA"/>
        </w:rPr>
      </w:pPr>
    </w:p>
    <w:p w:rsidR="008C547A" w:rsidRPr="00C73671" w:rsidRDefault="008C547A" w:rsidP="008C547A">
      <w:pPr>
        <w:spacing w:before="0" w:after="0" w:line="240" w:lineRule="auto"/>
        <w:jc w:val="both"/>
        <w:rPr>
          <w:rFonts w:ascii="Times New Roman" w:eastAsia="Times New Roman" w:hAnsi="Times New Roman" w:cs="Times New Roman"/>
          <w:color w:val="000000"/>
          <w:sz w:val="24"/>
          <w:szCs w:val="24"/>
          <w:lang w:bidi="ar-SA"/>
        </w:rPr>
      </w:pPr>
      <w:r w:rsidRPr="00C73671">
        <w:rPr>
          <w:rFonts w:ascii="Times New Roman" w:hAnsi="Times New Roman" w:cs="Times New Roman"/>
          <w:b/>
          <w:bCs/>
          <w:sz w:val="24"/>
          <w:szCs w:val="24"/>
          <w:lang w:bidi="ar-SA"/>
        </w:rPr>
        <w:lastRenderedPageBreak/>
        <w:t xml:space="preserve">Graphique 3 : Evolution de l’indice des prix des bovins ; ovins/caprins ; des porcins ; des autres produits élevages et volailles ; des sous-produits de l'élevage, </w:t>
      </w:r>
    </w:p>
    <w:p w:rsidR="008C547A" w:rsidRPr="00597E27" w:rsidRDefault="008C547A" w:rsidP="008C547A">
      <w:pPr>
        <w:pStyle w:val="Paragraphedeliste"/>
        <w:tabs>
          <w:tab w:val="left" w:pos="426"/>
        </w:tabs>
        <w:spacing w:before="120" w:after="0" w:line="240" w:lineRule="auto"/>
        <w:ind w:left="0"/>
        <w:contextualSpacing w:val="0"/>
        <w:jc w:val="both"/>
        <w:rPr>
          <w:rFonts w:ascii="Tahoma" w:hAnsi="Tahoma" w:cs="Tahoma"/>
          <w:sz w:val="24"/>
          <w:szCs w:val="24"/>
        </w:rPr>
      </w:pPr>
    </w:p>
    <w:p w:rsidR="008C547A" w:rsidRPr="00597E27" w:rsidRDefault="00B324CE" w:rsidP="008C547A">
      <w:pPr>
        <w:pStyle w:val="Paragraphedeliste"/>
        <w:tabs>
          <w:tab w:val="left" w:pos="426"/>
        </w:tabs>
        <w:spacing w:before="120" w:after="0" w:line="240" w:lineRule="auto"/>
        <w:ind w:left="0"/>
        <w:contextualSpacing w:val="0"/>
        <w:jc w:val="both"/>
        <w:rPr>
          <w:rFonts w:ascii="Tahoma" w:hAnsi="Tahoma" w:cs="Tahoma"/>
          <w:sz w:val="24"/>
          <w:szCs w:val="24"/>
        </w:rPr>
        <w:sectPr w:rsidR="008C547A" w:rsidRPr="00597E27" w:rsidSect="008C547A">
          <w:footerReference w:type="default" r:id="rId13"/>
          <w:pgSz w:w="12240" w:h="15840"/>
          <w:pgMar w:top="1440" w:right="1440" w:bottom="1440" w:left="1418" w:header="720" w:footer="720" w:gutter="0"/>
          <w:cols w:space="720"/>
          <w:docGrid w:linePitch="360"/>
        </w:sectPr>
      </w:pPr>
      <w:r>
        <w:rPr>
          <w:noProof/>
          <w:lang w:val="en-US" w:bidi="ar-SA"/>
        </w:rPr>
        <w:drawing>
          <wp:inline distT="0" distB="0" distL="0" distR="0" wp14:anchorId="698AA6D7" wp14:editId="550504E2">
            <wp:extent cx="5819775" cy="3162300"/>
            <wp:effectExtent l="0" t="0" r="9525" b="0"/>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C547A" w:rsidRDefault="008C547A" w:rsidP="008C547A">
      <w:pPr>
        <w:rPr>
          <w:rFonts w:ascii="Times New Roman" w:hAnsi="Times New Roman" w:cs="Times New Roman"/>
          <w:b/>
          <w:sz w:val="24"/>
          <w:szCs w:val="24"/>
          <w:lang w:val="af-ZA"/>
        </w:rPr>
      </w:pPr>
      <w:r w:rsidRPr="00A96F06">
        <w:rPr>
          <w:rFonts w:ascii="Times New Roman" w:hAnsi="Times New Roman" w:cs="Times New Roman"/>
          <w:b/>
          <w:sz w:val="24"/>
          <w:szCs w:val="24"/>
          <w:lang w:val="af-ZA"/>
        </w:rPr>
        <w:lastRenderedPageBreak/>
        <w:t>Annexe 1: Evolution de l’ indice par classe de produits</w:t>
      </w:r>
    </w:p>
    <w:tbl>
      <w:tblPr>
        <w:tblW w:w="10139" w:type="dxa"/>
        <w:tblInd w:w="-5" w:type="dxa"/>
        <w:tblLook w:val="04A0" w:firstRow="1" w:lastRow="0" w:firstColumn="1" w:lastColumn="0" w:noHBand="0" w:noVBand="1"/>
      </w:tblPr>
      <w:tblGrid>
        <w:gridCol w:w="2441"/>
        <w:gridCol w:w="1280"/>
        <w:gridCol w:w="711"/>
        <w:gridCol w:w="711"/>
        <w:gridCol w:w="711"/>
        <w:gridCol w:w="711"/>
        <w:gridCol w:w="717"/>
        <w:gridCol w:w="711"/>
        <w:gridCol w:w="779"/>
        <w:gridCol w:w="709"/>
        <w:gridCol w:w="924"/>
      </w:tblGrid>
      <w:tr w:rsidR="0035149D" w:rsidRPr="0035149D" w:rsidTr="0035149D">
        <w:trPr>
          <w:trHeight w:val="292"/>
        </w:trPr>
        <w:tc>
          <w:tcPr>
            <w:tcW w:w="2441" w:type="dxa"/>
            <w:vMerge w:val="restart"/>
            <w:tcBorders>
              <w:top w:val="single" w:sz="4" w:space="0" w:color="auto"/>
              <w:left w:val="single" w:sz="4" w:space="0" w:color="auto"/>
              <w:bottom w:val="single" w:sz="4" w:space="0" w:color="auto"/>
              <w:right w:val="single" w:sz="4" w:space="0" w:color="auto"/>
            </w:tcBorders>
            <w:shd w:val="clear" w:color="000000" w:fill="BDD7EE"/>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 xml:space="preserve">Nom de Classe </w:t>
            </w:r>
          </w:p>
        </w:tc>
        <w:tc>
          <w:tcPr>
            <w:tcW w:w="1280" w:type="dxa"/>
            <w:vMerge w:val="restart"/>
            <w:tcBorders>
              <w:top w:val="single" w:sz="4" w:space="0" w:color="auto"/>
              <w:left w:val="single" w:sz="4" w:space="0" w:color="auto"/>
              <w:bottom w:val="single" w:sz="4" w:space="0" w:color="auto"/>
              <w:right w:val="single" w:sz="4" w:space="0" w:color="auto"/>
            </w:tcBorders>
            <w:shd w:val="clear" w:color="000000" w:fill="BDD7EE"/>
            <w:noWrap/>
            <w:vAlign w:val="bottom"/>
            <w:hideMark/>
          </w:tcPr>
          <w:p w:rsidR="0035149D" w:rsidRPr="0035149D" w:rsidRDefault="0035149D" w:rsidP="0035149D">
            <w:pPr>
              <w:spacing w:before="0" w:after="0" w:line="240" w:lineRule="auto"/>
              <w:jc w:val="center"/>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Pondération</w:t>
            </w:r>
          </w:p>
        </w:tc>
        <w:tc>
          <w:tcPr>
            <w:tcW w:w="4272" w:type="dxa"/>
            <w:gridSpan w:val="6"/>
            <w:tcBorders>
              <w:top w:val="single" w:sz="4" w:space="0" w:color="auto"/>
              <w:left w:val="nil"/>
              <w:bottom w:val="single" w:sz="4" w:space="0" w:color="auto"/>
              <w:right w:val="single" w:sz="4" w:space="0" w:color="auto"/>
            </w:tcBorders>
            <w:shd w:val="clear" w:color="000000" w:fill="BDD7EE"/>
            <w:noWrap/>
            <w:vAlign w:val="bottom"/>
            <w:hideMark/>
          </w:tcPr>
          <w:p w:rsidR="0035149D" w:rsidRPr="0035149D" w:rsidRDefault="0035149D" w:rsidP="0035149D">
            <w:pPr>
              <w:spacing w:before="0" w:after="0" w:line="240" w:lineRule="auto"/>
              <w:jc w:val="center"/>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Indices</w:t>
            </w:r>
          </w:p>
        </w:tc>
        <w:tc>
          <w:tcPr>
            <w:tcW w:w="2146" w:type="dxa"/>
            <w:gridSpan w:val="3"/>
            <w:tcBorders>
              <w:top w:val="single" w:sz="4" w:space="0" w:color="auto"/>
              <w:left w:val="nil"/>
              <w:bottom w:val="single" w:sz="4" w:space="0" w:color="auto"/>
              <w:right w:val="single" w:sz="4" w:space="0" w:color="auto"/>
            </w:tcBorders>
            <w:shd w:val="clear" w:color="000000" w:fill="BDD7EE"/>
            <w:noWrap/>
            <w:vAlign w:val="bottom"/>
            <w:hideMark/>
          </w:tcPr>
          <w:p w:rsidR="0035149D" w:rsidRPr="0035149D" w:rsidRDefault="0035149D" w:rsidP="0035149D">
            <w:pPr>
              <w:spacing w:before="0" w:after="0" w:line="240" w:lineRule="auto"/>
              <w:jc w:val="center"/>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Variation en % sur:</w:t>
            </w:r>
          </w:p>
        </w:tc>
      </w:tr>
      <w:tr w:rsidR="0035149D" w:rsidRPr="0035149D" w:rsidTr="0035149D">
        <w:trPr>
          <w:trHeight w:val="292"/>
        </w:trPr>
        <w:tc>
          <w:tcPr>
            <w:tcW w:w="2441" w:type="dxa"/>
            <w:vMerge/>
            <w:tcBorders>
              <w:top w:val="single" w:sz="4" w:space="0" w:color="auto"/>
              <w:left w:val="single" w:sz="4" w:space="0" w:color="auto"/>
              <w:bottom w:val="single" w:sz="4" w:space="0" w:color="auto"/>
              <w:right w:val="single" w:sz="4" w:space="0" w:color="auto"/>
            </w:tcBorders>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p>
        </w:tc>
        <w:tc>
          <w:tcPr>
            <w:tcW w:w="711" w:type="dxa"/>
            <w:tcBorders>
              <w:top w:val="nil"/>
              <w:left w:val="nil"/>
              <w:bottom w:val="single" w:sz="4" w:space="0" w:color="auto"/>
              <w:right w:val="single" w:sz="4" w:space="0" w:color="auto"/>
            </w:tcBorders>
            <w:shd w:val="clear" w:color="000000" w:fill="BDD7EE"/>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nov-22</w:t>
            </w:r>
          </w:p>
        </w:tc>
        <w:tc>
          <w:tcPr>
            <w:tcW w:w="711" w:type="dxa"/>
            <w:tcBorders>
              <w:top w:val="nil"/>
              <w:left w:val="nil"/>
              <w:bottom w:val="single" w:sz="4" w:space="0" w:color="auto"/>
              <w:right w:val="single" w:sz="4" w:space="0" w:color="auto"/>
            </w:tcBorders>
            <w:shd w:val="clear" w:color="000000" w:fill="BDD7EE"/>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déc-22</w:t>
            </w:r>
          </w:p>
        </w:tc>
        <w:tc>
          <w:tcPr>
            <w:tcW w:w="711" w:type="dxa"/>
            <w:tcBorders>
              <w:top w:val="nil"/>
              <w:left w:val="nil"/>
              <w:bottom w:val="single" w:sz="4" w:space="0" w:color="auto"/>
              <w:right w:val="single" w:sz="4" w:space="0" w:color="auto"/>
            </w:tcBorders>
            <w:shd w:val="clear" w:color="000000" w:fill="BDD7EE"/>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janv-23</w:t>
            </w:r>
          </w:p>
        </w:tc>
        <w:tc>
          <w:tcPr>
            <w:tcW w:w="711" w:type="dxa"/>
            <w:tcBorders>
              <w:top w:val="nil"/>
              <w:left w:val="nil"/>
              <w:bottom w:val="single" w:sz="4" w:space="0" w:color="auto"/>
              <w:right w:val="single" w:sz="4" w:space="0" w:color="auto"/>
            </w:tcBorders>
            <w:shd w:val="clear" w:color="000000" w:fill="BDD7EE"/>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févr-23</w:t>
            </w:r>
          </w:p>
        </w:tc>
        <w:tc>
          <w:tcPr>
            <w:tcW w:w="717" w:type="dxa"/>
            <w:tcBorders>
              <w:top w:val="nil"/>
              <w:left w:val="nil"/>
              <w:bottom w:val="single" w:sz="4" w:space="0" w:color="auto"/>
              <w:right w:val="single" w:sz="4" w:space="0" w:color="auto"/>
            </w:tcBorders>
            <w:shd w:val="clear" w:color="000000" w:fill="BDD7EE"/>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mars-23</w:t>
            </w:r>
          </w:p>
        </w:tc>
        <w:tc>
          <w:tcPr>
            <w:tcW w:w="711" w:type="dxa"/>
            <w:tcBorders>
              <w:top w:val="nil"/>
              <w:left w:val="nil"/>
              <w:bottom w:val="single" w:sz="4" w:space="0" w:color="auto"/>
              <w:right w:val="single" w:sz="4" w:space="0" w:color="auto"/>
            </w:tcBorders>
            <w:shd w:val="clear" w:color="000000" w:fill="BDD7EE"/>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avr-23</w:t>
            </w:r>
          </w:p>
        </w:tc>
        <w:tc>
          <w:tcPr>
            <w:tcW w:w="512" w:type="dxa"/>
            <w:tcBorders>
              <w:top w:val="nil"/>
              <w:left w:val="nil"/>
              <w:bottom w:val="single" w:sz="4" w:space="0" w:color="auto"/>
              <w:right w:val="single" w:sz="4" w:space="0" w:color="auto"/>
            </w:tcBorders>
            <w:shd w:val="clear" w:color="000000" w:fill="BDD7EE"/>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1Mois</w:t>
            </w:r>
          </w:p>
        </w:tc>
        <w:tc>
          <w:tcPr>
            <w:tcW w:w="709" w:type="dxa"/>
            <w:tcBorders>
              <w:top w:val="nil"/>
              <w:left w:val="nil"/>
              <w:bottom w:val="single" w:sz="4" w:space="0" w:color="auto"/>
              <w:right w:val="single" w:sz="4" w:space="0" w:color="auto"/>
            </w:tcBorders>
            <w:shd w:val="clear" w:color="000000" w:fill="BDD7EE"/>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 Trim</w:t>
            </w:r>
          </w:p>
        </w:tc>
        <w:tc>
          <w:tcPr>
            <w:tcW w:w="924" w:type="dxa"/>
            <w:tcBorders>
              <w:top w:val="nil"/>
              <w:left w:val="nil"/>
              <w:bottom w:val="single" w:sz="4" w:space="0" w:color="auto"/>
              <w:right w:val="single" w:sz="4" w:space="0" w:color="auto"/>
            </w:tcBorders>
            <w:shd w:val="clear" w:color="000000" w:fill="BDD7EE"/>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 Année</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Céréales</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42,0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266,2</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273,2</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268,5</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268,8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273,4</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246,1</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-10,0</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67,3</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Tubércules et racines</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416,0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119,9</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130,5</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132,0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135,7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147,8</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146,8</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-0,7</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12,5</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39,6</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Légumineuses</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91,0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196,7</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210,4</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234,0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255,9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232,0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235,6</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12,8</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54,0</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Produits des plantes oléagineuses</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244,2</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231,4</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267,0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306,8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336,7</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340,5</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32,5</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72,0</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Cultures industrielles/exportations</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51,0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174,6</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174,6</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174,6</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174,6</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174,6</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Légumes frais</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128,0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135,8</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139,8</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134,4</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129,1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126,5</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135,6</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7,2</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-4,6</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-8,5</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Banane</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138,0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128,3</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138,0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143,0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127,0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140,5</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143,8</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0,5</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37,7</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Fruits frais</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189,3</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199,3</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179,1</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179,3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239,4</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201,7</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-15,7</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9,3</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62,2</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Bovins</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166,7</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175,7</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168,6</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166,2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176,9</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183,3</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3,6</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15,6</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Ovins caprins</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156,8</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162,5</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160,6</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167,5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171,7</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175,9</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7,3</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9,5</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Porcins</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164,5</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177,7</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169,3</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182,7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188,0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186,6</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-0,8</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8,9</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43,0</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Autres produits élevages et volailles</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171,3</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174,9</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174,5</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178,8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179,4</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182,8</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3,9</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28,9</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Sous produits de l'élevage</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139,1</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141,9</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142,7</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148,5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152,9</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155,9</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7,9</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17,1</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Produits de la sylviculture et de l’exploitation forestière</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88,1</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88,6</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82,3</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89,2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92,1</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92,7</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0,7</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5,8</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Produits de la pêche (coutumière et artisanale)</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204,7</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203,9</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ind w:hanging="1730"/>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206,5</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196,1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254,2</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314,0</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23,5</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24,3</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78,6</w:t>
            </w:r>
          </w:p>
        </w:tc>
      </w:tr>
      <w:tr w:rsidR="0035149D" w:rsidRPr="0035149D" w:rsidTr="0035149D">
        <w:trPr>
          <w:trHeight w:val="292"/>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35149D" w:rsidRPr="0035149D" w:rsidRDefault="0035149D" w:rsidP="0035149D">
            <w:pPr>
              <w:spacing w:before="0" w:after="0" w:line="240" w:lineRule="auto"/>
              <w:rPr>
                <w:rFonts w:ascii="Times New Roman" w:eastAsia="Times New Roman" w:hAnsi="Times New Roman" w:cs="Times New Roman"/>
                <w:b/>
                <w:bCs/>
                <w:color w:val="000000"/>
                <w:sz w:val="22"/>
                <w:szCs w:val="22"/>
                <w:lang w:val="af-ZA" w:bidi="ar-SA"/>
              </w:rPr>
            </w:pPr>
            <w:r w:rsidRPr="0035149D">
              <w:rPr>
                <w:rFonts w:ascii="Times New Roman" w:eastAsia="Times New Roman" w:hAnsi="Times New Roman" w:cs="Times New Roman"/>
                <w:b/>
                <w:bCs/>
                <w:color w:val="000000"/>
                <w:sz w:val="22"/>
                <w:szCs w:val="22"/>
                <w:lang w:val="af-ZA" w:bidi="ar-SA"/>
              </w:rPr>
              <w:t>Ensemble</w:t>
            </w:r>
          </w:p>
        </w:tc>
        <w:tc>
          <w:tcPr>
            <w:tcW w:w="128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b/>
                <w:bCs/>
                <w:color w:val="000000"/>
                <w:sz w:val="22"/>
                <w:szCs w:val="22"/>
                <w:lang w:val="af-ZA" w:bidi="ar-SA"/>
              </w:rPr>
            </w:pPr>
            <w:r w:rsidRPr="0035149D">
              <w:rPr>
                <w:rFonts w:ascii="Times New Roman" w:eastAsia="Times New Roman" w:hAnsi="Times New Roman" w:cs="Times New Roman"/>
                <w:b/>
                <w:bCs/>
                <w:color w:val="000000"/>
                <w:sz w:val="22"/>
                <w:szCs w:val="22"/>
                <w:lang w:val="af-ZA" w:bidi="ar-SA"/>
              </w:rPr>
              <w:t>1000,0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b/>
                <w:bCs/>
                <w:color w:val="000000"/>
                <w:sz w:val="22"/>
                <w:szCs w:val="22"/>
                <w:lang w:val="af-ZA" w:bidi="ar-SA"/>
              </w:rPr>
            </w:pPr>
            <w:r w:rsidRPr="0035149D">
              <w:rPr>
                <w:rFonts w:ascii="Times New Roman" w:eastAsia="Times New Roman" w:hAnsi="Times New Roman" w:cs="Times New Roman"/>
                <w:b/>
                <w:bCs/>
                <w:color w:val="000000"/>
                <w:sz w:val="22"/>
                <w:szCs w:val="22"/>
                <w:lang w:val="af-ZA" w:bidi="ar-SA"/>
              </w:rPr>
              <w:t>145,0</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b/>
                <w:bCs/>
                <w:color w:val="000000"/>
                <w:sz w:val="22"/>
                <w:szCs w:val="22"/>
                <w:lang w:val="af-ZA" w:bidi="ar-SA"/>
              </w:rPr>
            </w:pPr>
            <w:r w:rsidRPr="0035149D">
              <w:rPr>
                <w:rFonts w:ascii="Times New Roman" w:eastAsia="Times New Roman" w:hAnsi="Times New Roman" w:cs="Times New Roman"/>
                <w:b/>
                <w:bCs/>
                <w:color w:val="000000"/>
                <w:sz w:val="22"/>
                <w:szCs w:val="22"/>
                <w:lang w:val="af-ZA" w:bidi="ar-SA"/>
              </w:rPr>
              <w:t>153,4</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b/>
                <w:bCs/>
                <w:color w:val="000000"/>
                <w:sz w:val="22"/>
                <w:szCs w:val="22"/>
                <w:lang w:val="af-ZA" w:bidi="ar-SA"/>
              </w:rPr>
            </w:pPr>
            <w:r w:rsidRPr="0035149D">
              <w:rPr>
                <w:rFonts w:ascii="Times New Roman" w:eastAsia="Times New Roman" w:hAnsi="Times New Roman" w:cs="Times New Roman"/>
                <w:b/>
                <w:bCs/>
                <w:color w:val="000000"/>
                <w:sz w:val="22"/>
                <w:szCs w:val="22"/>
                <w:lang w:val="af-ZA" w:bidi="ar-SA"/>
              </w:rPr>
              <w:t>155,5</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b/>
                <w:bCs/>
                <w:color w:val="000000"/>
                <w:sz w:val="22"/>
                <w:szCs w:val="22"/>
                <w:lang w:val="af-ZA" w:bidi="ar-SA"/>
              </w:rPr>
            </w:pPr>
            <w:r w:rsidRPr="0035149D">
              <w:rPr>
                <w:rFonts w:ascii="Times New Roman" w:eastAsia="Times New Roman" w:hAnsi="Times New Roman" w:cs="Times New Roman"/>
                <w:b/>
                <w:bCs/>
                <w:color w:val="000000"/>
                <w:sz w:val="22"/>
                <w:szCs w:val="22"/>
                <w:lang w:val="af-ZA" w:bidi="ar-SA"/>
              </w:rPr>
              <w:t>156,6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b/>
                <w:bCs/>
                <w:color w:val="000000"/>
                <w:sz w:val="22"/>
                <w:szCs w:val="22"/>
                <w:lang w:val="af-ZA" w:bidi="ar-SA"/>
              </w:rPr>
            </w:pPr>
            <w:r w:rsidRPr="0035149D">
              <w:rPr>
                <w:rFonts w:ascii="Times New Roman" w:eastAsia="Times New Roman" w:hAnsi="Times New Roman" w:cs="Times New Roman"/>
                <w:b/>
                <w:bCs/>
                <w:color w:val="000000"/>
                <w:sz w:val="22"/>
                <w:szCs w:val="22"/>
                <w:lang w:val="af-ZA" w:bidi="ar-SA"/>
              </w:rPr>
              <w:t>164,1</w:t>
            </w:r>
          </w:p>
        </w:tc>
        <w:tc>
          <w:tcPr>
            <w:tcW w:w="711"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b/>
                <w:bCs/>
                <w:color w:val="000000"/>
                <w:sz w:val="22"/>
                <w:szCs w:val="22"/>
                <w:lang w:val="af-ZA" w:bidi="ar-SA"/>
              </w:rPr>
            </w:pPr>
            <w:r w:rsidRPr="0035149D">
              <w:rPr>
                <w:rFonts w:ascii="Times New Roman" w:eastAsia="Times New Roman" w:hAnsi="Times New Roman" w:cs="Times New Roman"/>
                <w:b/>
                <w:bCs/>
                <w:color w:val="000000"/>
                <w:sz w:val="22"/>
                <w:szCs w:val="22"/>
                <w:lang w:val="af-ZA" w:bidi="ar-SA"/>
              </w:rPr>
              <w:t>165,4</w:t>
            </w:r>
          </w:p>
        </w:tc>
        <w:tc>
          <w:tcPr>
            <w:tcW w:w="51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b/>
                <w:bCs/>
                <w:color w:val="000000"/>
                <w:sz w:val="22"/>
                <w:szCs w:val="22"/>
                <w:lang w:val="af-ZA" w:bidi="ar-SA"/>
              </w:rPr>
            </w:pPr>
            <w:r w:rsidRPr="0035149D">
              <w:rPr>
                <w:rFonts w:ascii="Times New Roman" w:eastAsia="Times New Roman" w:hAnsi="Times New Roman" w:cs="Times New Roman"/>
                <w:b/>
                <w:bCs/>
                <w:color w:val="000000"/>
                <w:sz w:val="22"/>
                <w:szCs w:val="22"/>
                <w:lang w:val="af-ZA" w:bidi="ar-SA"/>
              </w:rPr>
              <w:t>0,8</w:t>
            </w:r>
          </w:p>
        </w:tc>
        <w:tc>
          <w:tcPr>
            <w:tcW w:w="709"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b/>
                <w:bCs/>
                <w:color w:val="000000"/>
                <w:sz w:val="22"/>
                <w:szCs w:val="22"/>
                <w:lang w:val="af-ZA" w:bidi="ar-SA"/>
              </w:rPr>
            </w:pPr>
            <w:r w:rsidRPr="0035149D">
              <w:rPr>
                <w:rFonts w:ascii="Times New Roman" w:eastAsia="Times New Roman" w:hAnsi="Times New Roman" w:cs="Times New Roman"/>
                <w:b/>
                <w:bCs/>
                <w:color w:val="000000"/>
                <w:sz w:val="22"/>
                <w:szCs w:val="22"/>
                <w:lang w:val="af-ZA" w:bidi="ar-SA"/>
              </w:rPr>
              <w:t>7,1</w:t>
            </w:r>
          </w:p>
        </w:tc>
        <w:tc>
          <w:tcPr>
            <w:tcW w:w="924"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b/>
                <w:bCs/>
                <w:color w:val="000000"/>
                <w:sz w:val="22"/>
                <w:szCs w:val="22"/>
                <w:lang w:val="af-ZA" w:bidi="ar-SA"/>
              </w:rPr>
            </w:pPr>
            <w:r w:rsidRPr="0035149D">
              <w:rPr>
                <w:rFonts w:ascii="Times New Roman" w:eastAsia="Times New Roman" w:hAnsi="Times New Roman" w:cs="Times New Roman"/>
                <w:b/>
                <w:bCs/>
                <w:color w:val="000000"/>
                <w:sz w:val="22"/>
                <w:szCs w:val="22"/>
                <w:lang w:val="af-ZA" w:bidi="ar-SA"/>
              </w:rPr>
              <w:t>31,7</w:t>
            </w:r>
          </w:p>
        </w:tc>
      </w:tr>
    </w:tbl>
    <w:p w:rsidR="0035149D" w:rsidRDefault="0035149D" w:rsidP="008C547A">
      <w:pPr>
        <w:rPr>
          <w:rFonts w:ascii="Times New Roman" w:hAnsi="Times New Roman" w:cs="Times New Roman"/>
          <w:b/>
          <w:sz w:val="24"/>
          <w:szCs w:val="24"/>
          <w:lang w:val="af-ZA"/>
        </w:rPr>
      </w:pPr>
    </w:p>
    <w:p w:rsidR="0035149D" w:rsidRDefault="0035149D" w:rsidP="008C547A">
      <w:pPr>
        <w:rPr>
          <w:rFonts w:ascii="Times New Roman" w:hAnsi="Times New Roman" w:cs="Times New Roman"/>
          <w:b/>
          <w:sz w:val="24"/>
          <w:szCs w:val="24"/>
          <w:lang w:val="af-ZA"/>
        </w:rPr>
      </w:pPr>
    </w:p>
    <w:p w:rsidR="0035149D" w:rsidRDefault="0035149D" w:rsidP="008C547A">
      <w:pPr>
        <w:rPr>
          <w:rFonts w:ascii="Times New Roman" w:hAnsi="Times New Roman" w:cs="Times New Roman"/>
          <w:b/>
          <w:sz w:val="24"/>
          <w:szCs w:val="24"/>
          <w:lang w:val="af-ZA"/>
        </w:rPr>
      </w:pPr>
    </w:p>
    <w:p w:rsidR="008C547A" w:rsidRPr="00A96F06" w:rsidRDefault="008C547A" w:rsidP="008C547A">
      <w:pPr>
        <w:rPr>
          <w:rFonts w:ascii="Times New Roman" w:hAnsi="Times New Roman" w:cs="Times New Roman"/>
          <w:b/>
          <w:sz w:val="24"/>
          <w:szCs w:val="24"/>
          <w:lang w:val="af-ZA"/>
        </w:rPr>
      </w:pPr>
    </w:p>
    <w:p w:rsidR="008C547A" w:rsidRDefault="008C547A" w:rsidP="008C547A">
      <w:pPr>
        <w:rPr>
          <w:rFonts w:ascii="Tahoma" w:hAnsi="Tahoma" w:cs="Tahoma"/>
          <w:b/>
          <w:sz w:val="24"/>
          <w:szCs w:val="24"/>
          <w:lang w:val="af-ZA"/>
        </w:rPr>
      </w:pPr>
    </w:p>
    <w:p w:rsidR="008C547A" w:rsidRDefault="008C547A" w:rsidP="008C547A">
      <w:pPr>
        <w:rPr>
          <w:rFonts w:ascii="Tahoma" w:hAnsi="Tahoma" w:cs="Tahoma"/>
          <w:b/>
          <w:sz w:val="24"/>
          <w:szCs w:val="24"/>
          <w:lang w:val="af-ZA"/>
        </w:rPr>
      </w:pPr>
    </w:p>
    <w:p w:rsidR="008C547A" w:rsidRDefault="008C547A" w:rsidP="008C547A">
      <w:pPr>
        <w:rPr>
          <w:rFonts w:ascii="Tahoma" w:hAnsi="Tahoma" w:cs="Tahoma"/>
          <w:b/>
          <w:sz w:val="24"/>
          <w:szCs w:val="24"/>
          <w:lang w:val="af-ZA"/>
        </w:rPr>
      </w:pPr>
    </w:p>
    <w:p w:rsidR="008C547A" w:rsidRDefault="008C547A" w:rsidP="008C547A">
      <w:pPr>
        <w:rPr>
          <w:rFonts w:ascii="Tahoma" w:hAnsi="Tahoma" w:cs="Tahoma"/>
          <w:b/>
          <w:sz w:val="24"/>
          <w:szCs w:val="24"/>
          <w:lang w:val="af-ZA"/>
        </w:rPr>
      </w:pPr>
    </w:p>
    <w:p w:rsidR="008C547A" w:rsidRPr="00597E27" w:rsidRDefault="008C547A" w:rsidP="008C547A">
      <w:pPr>
        <w:rPr>
          <w:rFonts w:ascii="Tahoma" w:hAnsi="Tahoma" w:cs="Tahoma"/>
          <w:b/>
          <w:sz w:val="24"/>
          <w:szCs w:val="24"/>
          <w:lang w:val="af-ZA"/>
        </w:rPr>
      </w:pPr>
    </w:p>
    <w:p w:rsidR="0035149D" w:rsidRDefault="008C547A" w:rsidP="008C547A">
      <w:pPr>
        <w:jc w:val="both"/>
        <w:rPr>
          <w:rFonts w:ascii="Times New Roman" w:hAnsi="Times New Roman" w:cs="Times New Roman"/>
          <w:b/>
          <w:sz w:val="24"/>
          <w:szCs w:val="24"/>
          <w:lang w:val="af-ZA"/>
        </w:rPr>
      </w:pPr>
      <w:r w:rsidRPr="00C73671">
        <w:rPr>
          <w:rFonts w:ascii="Times New Roman" w:hAnsi="Times New Roman" w:cs="Times New Roman"/>
          <w:b/>
          <w:sz w:val="24"/>
          <w:szCs w:val="24"/>
          <w:lang w:val="af-ZA"/>
        </w:rPr>
        <w:t>Annexe 2. Evolution des indices des produits élementaires</w:t>
      </w:r>
    </w:p>
    <w:tbl>
      <w:tblPr>
        <w:tblW w:w="9484" w:type="dxa"/>
        <w:tblInd w:w="-5" w:type="dxa"/>
        <w:tblLook w:val="04A0" w:firstRow="1" w:lastRow="0" w:firstColumn="1" w:lastColumn="0" w:noHBand="0" w:noVBand="1"/>
      </w:tblPr>
      <w:tblGrid>
        <w:gridCol w:w="1467"/>
        <w:gridCol w:w="1325"/>
        <w:gridCol w:w="752"/>
        <w:gridCol w:w="717"/>
        <w:gridCol w:w="717"/>
        <w:gridCol w:w="717"/>
        <w:gridCol w:w="728"/>
        <w:gridCol w:w="717"/>
        <w:gridCol w:w="9"/>
        <w:gridCol w:w="702"/>
        <w:gridCol w:w="910"/>
        <w:gridCol w:w="910"/>
        <w:gridCol w:w="9"/>
      </w:tblGrid>
      <w:tr w:rsidR="0035149D" w:rsidRPr="0035149D" w:rsidTr="0035149D">
        <w:trPr>
          <w:trHeight w:val="300"/>
          <w:tblHeader/>
        </w:trPr>
        <w:tc>
          <w:tcPr>
            <w:tcW w:w="1467" w:type="dxa"/>
            <w:vMerge w:val="restart"/>
            <w:tcBorders>
              <w:top w:val="single" w:sz="4" w:space="0" w:color="auto"/>
              <w:left w:val="single" w:sz="4" w:space="0" w:color="auto"/>
              <w:bottom w:val="single" w:sz="4" w:space="0" w:color="auto"/>
              <w:right w:val="single" w:sz="4" w:space="0" w:color="auto"/>
            </w:tcBorders>
            <w:shd w:val="clear" w:color="000000" w:fill="DBDBDB"/>
            <w:noWrap/>
            <w:vAlign w:val="bottom"/>
            <w:hideMark/>
          </w:tcPr>
          <w:p w:rsidR="0035149D" w:rsidRPr="0035149D" w:rsidRDefault="0035149D" w:rsidP="0035149D">
            <w:pPr>
              <w:spacing w:before="0" w:after="0" w:line="240" w:lineRule="auto"/>
              <w:jc w:val="center"/>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Intitulé des produits </w:t>
            </w:r>
          </w:p>
        </w:tc>
        <w:tc>
          <w:tcPr>
            <w:tcW w:w="1325" w:type="dxa"/>
            <w:vMerge w:val="restart"/>
            <w:tcBorders>
              <w:top w:val="single" w:sz="4" w:space="0" w:color="auto"/>
              <w:left w:val="single" w:sz="4" w:space="0" w:color="auto"/>
              <w:bottom w:val="single" w:sz="4" w:space="0" w:color="auto"/>
              <w:right w:val="single" w:sz="4" w:space="0" w:color="auto"/>
            </w:tcBorders>
            <w:shd w:val="clear" w:color="000000" w:fill="DBDBDB"/>
            <w:noWrap/>
            <w:vAlign w:val="bottom"/>
            <w:hideMark/>
          </w:tcPr>
          <w:p w:rsidR="0035149D" w:rsidRPr="0035149D" w:rsidRDefault="0035149D" w:rsidP="0035149D">
            <w:pPr>
              <w:spacing w:before="0" w:after="0" w:line="240" w:lineRule="auto"/>
              <w:jc w:val="center"/>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Pondération</w:t>
            </w:r>
          </w:p>
        </w:tc>
        <w:tc>
          <w:tcPr>
            <w:tcW w:w="4354" w:type="dxa"/>
            <w:gridSpan w:val="7"/>
            <w:tcBorders>
              <w:top w:val="single" w:sz="4" w:space="0" w:color="auto"/>
              <w:left w:val="nil"/>
              <w:bottom w:val="single" w:sz="4" w:space="0" w:color="auto"/>
              <w:right w:val="single" w:sz="4" w:space="0" w:color="auto"/>
            </w:tcBorders>
            <w:shd w:val="clear" w:color="000000" w:fill="DBDBDB"/>
            <w:noWrap/>
            <w:vAlign w:val="bottom"/>
            <w:hideMark/>
          </w:tcPr>
          <w:p w:rsidR="0035149D" w:rsidRPr="0035149D" w:rsidRDefault="0035149D" w:rsidP="0035149D">
            <w:pPr>
              <w:spacing w:before="0" w:after="0" w:line="240" w:lineRule="auto"/>
              <w:jc w:val="center"/>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Indices</w:t>
            </w:r>
          </w:p>
        </w:tc>
        <w:tc>
          <w:tcPr>
            <w:tcW w:w="2338" w:type="dxa"/>
            <w:gridSpan w:val="4"/>
            <w:tcBorders>
              <w:top w:val="single" w:sz="4" w:space="0" w:color="auto"/>
              <w:left w:val="nil"/>
              <w:bottom w:val="single" w:sz="4" w:space="0" w:color="auto"/>
              <w:right w:val="single" w:sz="4" w:space="0" w:color="auto"/>
            </w:tcBorders>
            <w:shd w:val="clear" w:color="000000" w:fill="DBDBDB"/>
            <w:noWrap/>
            <w:vAlign w:val="bottom"/>
            <w:hideMark/>
          </w:tcPr>
          <w:p w:rsidR="0035149D" w:rsidRPr="0035149D" w:rsidRDefault="0035149D" w:rsidP="0035149D">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Variation</w:t>
            </w:r>
            <w:r w:rsidRPr="0035149D">
              <w:rPr>
                <w:rFonts w:ascii="Times New Roman" w:eastAsia="Times New Roman" w:hAnsi="Times New Roman" w:cs="Times New Roman"/>
                <w:color w:val="000000"/>
                <w:sz w:val="22"/>
                <w:szCs w:val="22"/>
                <w:lang w:val="af-ZA" w:bidi="ar-SA"/>
              </w:rPr>
              <w:t xml:space="preserve"> en % sur :</w:t>
            </w:r>
          </w:p>
        </w:tc>
      </w:tr>
      <w:tr w:rsidR="0035149D" w:rsidRPr="0035149D" w:rsidTr="0035149D">
        <w:trPr>
          <w:gridAfter w:val="1"/>
          <w:wAfter w:w="9" w:type="dxa"/>
          <w:trHeight w:val="300"/>
          <w:tblHeader/>
        </w:trPr>
        <w:tc>
          <w:tcPr>
            <w:tcW w:w="1467" w:type="dxa"/>
            <w:vMerge/>
            <w:tcBorders>
              <w:top w:val="single" w:sz="4" w:space="0" w:color="auto"/>
              <w:left w:val="single" w:sz="4" w:space="0" w:color="auto"/>
              <w:bottom w:val="single" w:sz="4" w:space="0" w:color="auto"/>
              <w:right w:val="single" w:sz="4" w:space="0" w:color="auto"/>
            </w:tcBorders>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p>
        </w:tc>
        <w:tc>
          <w:tcPr>
            <w:tcW w:w="1325" w:type="dxa"/>
            <w:vMerge/>
            <w:tcBorders>
              <w:top w:val="single" w:sz="4" w:space="0" w:color="auto"/>
              <w:left w:val="single" w:sz="4" w:space="0" w:color="auto"/>
              <w:bottom w:val="single" w:sz="4" w:space="0" w:color="auto"/>
              <w:right w:val="single" w:sz="4" w:space="0" w:color="auto"/>
            </w:tcBorders>
            <w:vAlign w:val="center"/>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p>
        </w:tc>
        <w:tc>
          <w:tcPr>
            <w:tcW w:w="752" w:type="dxa"/>
            <w:tcBorders>
              <w:top w:val="nil"/>
              <w:left w:val="nil"/>
              <w:bottom w:val="single" w:sz="4" w:space="0" w:color="auto"/>
              <w:right w:val="single" w:sz="4" w:space="0" w:color="auto"/>
            </w:tcBorders>
            <w:shd w:val="clear" w:color="000000" w:fill="DBDBDB"/>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nov-22</w:t>
            </w:r>
          </w:p>
        </w:tc>
        <w:tc>
          <w:tcPr>
            <w:tcW w:w="717" w:type="dxa"/>
            <w:tcBorders>
              <w:top w:val="nil"/>
              <w:left w:val="nil"/>
              <w:bottom w:val="single" w:sz="4" w:space="0" w:color="auto"/>
              <w:right w:val="single" w:sz="4" w:space="0" w:color="auto"/>
            </w:tcBorders>
            <w:shd w:val="clear" w:color="000000" w:fill="DBDBDB"/>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déc-22</w:t>
            </w:r>
          </w:p>
        </w:tc>
        <w:tc>
          <w:tcPr>
            <w:tcW w:w="717" w:type="dxa"/>
            <w:tcBorders>
              <w:top w:val="nil"/>
              <w:left w:val="nil"/>
              <w:bottom w:val="single" w:sz="4" w:space="0" w:color="auto"/>
              <w:right w:val="single" w:sz="4" w:space="0" w:color="auto"/>
            </w:tcBorders>
            <w:shd w:val="clear" w:color="000000" w:fill="DBDBDB"/>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janv-23</w:t>
            </w:r>
          </w:p>
        </w:tc>
        <w:tc>
          <w:tcPr>
            <w:tcW w:w="717" w:type="dxa"/>
            <w:tcBorders>
              <w:top w:val="nil"/>
              <w:left w:val="nil"/>
              <w:bottom w:val="single" w:sz="4" w:space="0" w:color="auto"/>
              <w:right w:val="single" w:sz="4" w:space="0" w:color="auto"/>
            </w:tcBorders>
            <w:shd w:val="clear" w:color="000000" w:fill="DBDBDB"/>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févr-23</w:t>
            </w:r>
          </w:p>
        </w:tc>
        <w:tc>
          <w:tcPr>
            <w:tcW w:w="728" w:type="dxa"/>
            <w:tcBorders>
              <w:top w:val="nil"/>
              <w:left w:val="nil"/>
              <w:bottom w:val="single" w:sz="4" w:space="0" w:color="auto"/>
              <w:right w:val="single" w:sz="4" w:space="0" w:color="auto"/>
            </w:tcBorders>
            <w:shd w:val="clear" w:color="000000" w:fill="DBDBDB"/>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mars-23</w:t>
            </w:r>
          </w:p>
        </w:tc>
        <w:tc>
          <w:tcPr>
            <w:tcW w:w="717" w:type="dxa"/>
            <w:tcBorders>
              <w:top w:val="nil"/>
              <w:left w:val="nil"/>
              <w:bottom w:val="single" w:sz="4" w:space="0" w:color="auto"/>
              <w:right w:val="single" w:sz="4" w:space="0" w:color="auto"/>
            </w:tcBorders>
            <w:shd w:val="clear" w:color="000000" w:fill="DBDBDB"/>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avr-23</w:t>
            </w:r>
          </w:p>
        </w:tc>
        <w:tc>
          <w:tcPr>
            <w:tcW w:w="515" w:type="dxa"/>
            <w:gridSpan w:val="2"/>
            <w:tcBorders>
              <w:top w:val="nil"/>
              <w:left w:val="nil"/>
              <w:bottom w:val="single" w:sz="4" w:space="0" w:color="auto"/>
              <w:right w:val="single" w:sz="4" w:space="0" w:color="auto"/>
            </w:tcBorders>
            <w:shd w:val="clear" w:color="000000" w:fill="DBDBDB"/>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 Mois</w:t>
            </w:r>
          </w:p>
        </w:tc>
        <w:tc>
          <w:tcPr>
            <w:tcW w:w="910" w:type="dxa"/>
            <w:tcBorders>
              <w:top w:val="nil"/>
              <w:left w:val="nil"/>
              <w:bottom w:val="single" w:sz="4" w:space="0" w:color="auto"/>
              <w:right w:val="single" w:sz="4" w:space="0" w:color="auto"/>
            </w:tcBorders>
            <w:shd w:val="clear" w:color="000000" w:fill="DBDBDB"/>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 Trim</w:t>
            </w:r>
          </w:p>
        </w:tc>
        <w:tc>
          <w:tcPr>
            <w:tcW w:w="910" w:type="dxa"/>
            <w:tcBorders>
              <w:top w:val="nil"/>
              <w:left w:val="nil"/>
              <w:bottom w:val="single" w:sz="4" w:space="0" w:color="auto"/>
              <w:right w:val="single" w:sz="4" w:space="0" w:color="auto"/>
            </w:tcBorders>
            <w:shd w:val="clear" w:color="000000" w:fill="DBDBDB"/>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 Année</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Blé</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155,5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154,9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163,1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163,1</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261,2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285,4</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9,2</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49,9</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62,5</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Maïs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323,7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333,2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317,3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304,0</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287,1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256,2</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-10,8</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68,0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Riz paddy</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209,3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217,8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229,0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265,7</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281,4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287,5</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2,2</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27,2</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91,5</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Sorgho à graines rouges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212,5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212,9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221,9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213,4</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216,0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206,7</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28,0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Sorgho à graines blanches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180,1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180,1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180,1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180,1</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254,3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B324CE"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20,6</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Eleusine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173,7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175,8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180,4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203,3</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190,9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171,8</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6,8</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17,2</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Pommes de terre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35,0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182,9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190,9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176,1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174,9</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199,3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215,0</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7,9</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7,2</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23,7</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Manioc doux</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55,0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122,5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130,0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129,3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144,0</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149,4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159,7</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6,9</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18,7</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63,3</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Manioc amer</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258,0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106,0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119,3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122,2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121,6</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130,5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127,4</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9,2</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30,2</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Colocase (amateke y'Ikirundi</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52,4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Colocase (amateke y'Ikizungu)</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137,5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158,2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155,1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170,0</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188,8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183,4</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-2,9</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49,6</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Patates douces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47,0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151,3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158,5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169,0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184,5</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212,1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198,3</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-6,5</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75,0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Haricots jaune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209,2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222,0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239,2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267,3</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288,1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290,9</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26,2</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77,6</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Haricots rouge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218,1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237,5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269,2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312,8</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344,7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351,6</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39,2</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121,6</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Haricots mélangé (kirundo)</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225,9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248,5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273,0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319,5</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356,5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365,9</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39,4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126,9</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Petit pois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55,0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183,5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191,6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214,2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223,8</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229,7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238,6</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3,9</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17,5</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52,3</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 xml:space="preserve">Niébe </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186,7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186,7</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298,7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lastRenderedPageBreak/>
              <w:t>pois cajan</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242,0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278,6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283,6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332,8</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24,1</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-100,0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Arachides( coques ou décortiqué)</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312,8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285,3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353,2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433,5</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493,0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503,9</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2,2</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50,4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114,8</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Soja</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208,4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214,1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224,1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221,6</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222,5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213,0</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7,8</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Tournesol</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159,2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159,2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159,2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159,2</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159,2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159,2</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11,1</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Café cérise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39,0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190,0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190,0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190,0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190,0</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190,0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190,0</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Thé brut (feuilles vertes)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112,0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112,0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112,0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112,0</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112,0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112,0</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Coton graine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110,0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110,0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110,0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110,0</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110,0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110,0</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Canne à sucre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142,9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142,9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142,9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142,9</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142,9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142,9</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Amarantes (lenga lenga)</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148,6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145,3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135,8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134,4</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124,7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137,5</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-7,7</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29,5</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Ognons rouges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108,6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109,9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118,0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112,3</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109,0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115,8</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6,2</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0,2</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-9,3</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Ognons blancs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127,0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127,0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134,0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123,9</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122,2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122,4</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0,1</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Aubergine Viollette ( Viringanya)</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139,5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121,5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119,5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87,3</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87,2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91,8</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7,8</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Aubergine Amer ( z'Ikirundi)</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159,0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156,2</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153,7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155,9</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10,1</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Tomate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32,0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135,4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145,4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144,3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129,8</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125,5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149,4</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19,1</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-4,8</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0,3</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Choux pomme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187,5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200,6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172,7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162,3</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161,4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159,4</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-13,9</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23,7</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Poireau</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120,2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131,0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137,3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176,1</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164,7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163,4</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-0,8</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29,8</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54,4</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Poivron</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112,4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131,7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120,0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110,2</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120,3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114,9</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-4,5</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-5,1</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-4,6</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Carotte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132,1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129,5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132,2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130,5</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127,8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140,0</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9,6</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-0,6</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Epinard</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135,5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133,4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135,2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136,7</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163,1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158,2</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-3,1</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19,1</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Concombre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-100,0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 xml:space="preserve">Banane à cuire </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29,0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146,4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156,0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160,3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160,8</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172,6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183,2</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6,1</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11,6</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47,9</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Banane à vin</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105,0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122,8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132,5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137,7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115,9</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130,7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131,8</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0,8</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-3,7</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34,1</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Bananes à fruits longues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134,2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143,0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144,2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152,5</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153,7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165,9</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7,9</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40,0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Bananes à fuits courtes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153,7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162,1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170,4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196,7</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179,1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180,8</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0,9</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14,5</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37,1</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lastRenderedPageBreak/>
              <w:t>Ananas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144,6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141,2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136,9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137,1</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142,7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151,8</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24,7</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Oranges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305,2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404,5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295,7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264,1</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317,2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205,9</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-35,1</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-21,7</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47,9</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Mandarines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332,7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344,1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256,5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237,4</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469,1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248,8</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-47,0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96,2</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Citrons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194,1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199,4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215,5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181,8</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182,3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158,1</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Maracouja</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139,0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130,0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132,0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127,3</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154,8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143,7</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-7,2</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6,2</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19,4</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Avocats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157,0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163,1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169,5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182,7</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181,3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182,7</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0,8</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11,7</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28,3</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Mangues de grande taille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157,6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128,2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140,4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170,3</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632,7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615,0</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-2,8</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232,6</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100,0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Mangue de petite taille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179,4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132,2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138,7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167,1</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148,8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208,0</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39,8</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46,1</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Prune du Japon</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118,6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122,2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120,4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131,1</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122,8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120,3</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3,6</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Taureau sur pied race locale (4 à 5 ans)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160,6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171,2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163,6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159,5</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170,2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177,0</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12,9</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Vache sur pied (4 à 5 ans)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178,9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184,7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178,4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179,8</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190,4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195,9</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2,9</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20,9</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Mouton sur pied (3 à 5 ans)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170,2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170,9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178,9</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185,7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185,1</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6,5</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12,7</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Chèvre locale sur pied (3 à 5 ans)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154,1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160,0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158,6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165,2</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168,9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174,0</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3,1</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7,5</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8,9</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Porcins sur pied (1 à 2 ans)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164,5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177,7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169,3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182,7</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188,0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186,6</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-0,8</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8,9</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43,0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 xml:space="preserve">Lapin </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169,2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177,2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174,3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175,3</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182,6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187,3</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4,7</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39,8</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Poules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196,0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206,3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203,7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206,0</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212,5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216,6</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4,8</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25,2</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Canards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154,5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159,0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154,2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165,0</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137,5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155,8</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39,1</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Cobayes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165,6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157,2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165,7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169,0</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185,1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171,4</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7,6</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15,8</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Lait de vache brut</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130,7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133,6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134,9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141,6</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146,2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148,8</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1,8</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16,1</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Œufs</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192,1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194,5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195,0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197,9</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203,5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208,8</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4,9</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27,9</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Miel</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117,4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119,1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116,7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119,5</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118,3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121,2</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2,5</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1,6</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-0,9</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Grumes (bois d'œuvre)( Planche)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105,3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106,3</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104,7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109,0</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107,8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108,2</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2,7</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4,4</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lastRenderedPageBreak/>
              <w:t>Bois de chauffe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80,5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80,5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72,9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80,5</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82,7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83,1</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0,5</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 xml:space="preserve">Charbon de bois </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132,9</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136,1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136,1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140,2</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150,5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152,5</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17,2</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Ndagala</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264,8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255,1</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266,8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200,8</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275,7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300,0</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8,8</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24,5</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Nyamunyamu</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7,0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433,6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322,2</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321,0</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242,6</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307,6</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309,5</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0,6</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-20,2</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28,9</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Kahuzo</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4,0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200,7</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203,8</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211,1</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196,5</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295,3</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50,3</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15,9</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100,0</w:t>
            </w:r>
          </w:p>
        </w:tc>
      </w:tr>
      <w:tr w:rsidR="0035149D" w:rsidRPr="0035149D" w:rsidTr="0035149D">
        <w:trPr>
          <w:gridAfter w:val="1"/>
          <w:wAfter w:w="9" w:type="dxa"/>
          <w:trHeight w:val="300"/>
        </w:trPr>
        <w:tc>
          <w:tcPr>
            <w:tcW w:w="1467" w:type="dxa"/>
            <w:tcBorders>
              <w:top w:val="nil"/>
              <w:left w:val="single" w:sz="4" w:space="0" w:color="auto"/>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Mukeke</w:t>
            </w:r>
          </w:p>
        </w:tc>
        <w:tc>
          <w:tcPr>
            <w:tcW w:w="1325"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5,0</w:t>
            </w:r>
          </w:p>
        </w:tc>
        <w:tc>
          <w:tcPr>
            <w:tcW w:w="752"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7477F" w:rsidP="0035149D">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115,4</w:t>
            </w:r>
          </w:p>
        </w:tc>
        <w:tc>
          <w:tcPr>
            <w:tcW w:w="728"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208,4</w:t>
            </w:r>
          </w:p>
        </w:tc>
        <w:tc>
          <w:tcPr>
            <w:tcW w:w="717"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346,6</w:t>
            </w:r>
          </w:p>
        </w:tc>
        <w:tc>
          <w:tcPr>
            <w:tcW w:w="515" w:type="dxa"/>
            <w:gridSpan w:val="2"/>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66,4</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100,0</w:t>
            </w:r>
          </w:p>
        </w:tc>
        <w:tc>
          <w:tcPr>
            <w:tcW w:w="910" w:type="dxa"/>
            <w:tcBorders>
              <w:top w:val="nil"/>
              <w:left w:val="nil"/>
              <w:bottom w:val="single" w:sz="4" w:space="0" w:color="auto"/>
              <w:right w:val="single" w:sz="4" w:space="0" w:color="auto"/>
            </w:tcBorders>
            <w:shd w:val="clear" w:color="auto" w:fill="auto"/>
            <w:noWrap/>
            <w:vAlign w:val="bottom"/>
            <w:hideMark/>
          </w:tcPr>
          <w:p w:rsidR="0035149D" w:rsidRPr="0035149D" w:rsidRDefault="0035149D" w:rsidP="0035149D">
            <w:pPr>
              <w:spacing w:before="0" w:after="0" w:line="240" w:lineRule="auto"/>
              <w:jc w:val="right"/>
              <w:rPr>
                <w:rFonts w:ascii="Times New Roman" w:eastAsia="Times New Roman" w:hAnsi="Times New Roman" w:cs="Times New Roman"/>
                <w:color w:val="000000"/>
                <w:sz w:val="22"/>
                <w:szCs w:val="22"/>
                <w:lang w:val="af-ZA" w:bidi="ar-SA"/>
              </w:rPr>
            </w:pPr>
            <w:r w:rsidRPr="0035149D">
              <w:rPr>
                <w:rFonts w:ascii="Times New Roman" w:eastAsia="Times New Roman" w:hAnsi="Times New Roman" w:cs="Times New Roman"/>
                <w:color w:val="000000"/>
                <w:sz w:val="22"/>
                <w:szCs w:val="22"/>
                <w:lang w:val="af-ZA" w:bidi="ar-SA"/>
              </w:rPr>
              <w:t>98,7</w:t>
            </w:r>
          </w:p>
        </w:tc>
      </w:tr>
    </w:tbl>
    <w:p w:rsidR="0035149D" w:rsidRDefault="0035149D" w:rsidP="008C547A">
      <w:pPr>
        <w:jc w:val="both"/>
        <w:rPr>
          <w:rFonts w:ascii="Times New Roman" w:hAnsi="Times New Roman" w:cs="Times New Roman"/>
          <w:b/>
          <w:sz w:val="24"/>
          <w:szCs w:val="24"/>
          <w:lang w:val="af-ZA"/>
        </w:rPr>
      </w:pPr>
    </w:p>
    <w:p w:rsidR="008C547A" w:rsidRDefault="008C547A" w:rsidP="008C547A">
      <w:pPr>
        <w:jc w:val="both"/>
        <w:rPr>
          <w:rFonts w:ascii="Times New Roman" w:hAnsi="Times New Roman" w:cs="Times New Roman"/>
          <w:b/>
          <w:sz w:val="24"/>
          <w:szCs w:val="24"/>
          <w:lang w:val="af-ZA"/>
        </w:rPr>
      </w:pPr>
    </w:p>
    <w:p w:rsidR="008C547A" w:rsidRDefault="008C547A" w:rsidP="008C547A">
      <w:pPr>
        <w:jc w:val="both"/>
        <w:rPr>
          <w:rFonts w:ascii="Times New Roman" w:hAnsi="Times New Roman" w:cs="Times New Roman"/>
          <w:b/>
          <w:sz w:val="24"/>
          <w:szCs w:val="24"/>
          <w:lang w:val="af-ZA"/>
        </w:rPr>
      </w:pPr>
    </w:p>
    <w:p w:rsidR="008C547A" w:rsidRPr="00C73671" w:rsidRDefault="008C547A" w:rsidP="008C547A">
      <w:pPr>
        <w:jc w:val="both"/>
        <w:rPr>
          <w:rFonts w:ascii="Times New Roman" w:hAnsi="Times New Roman" w:cs="Times New Roman"/>
          <w:b/>
          <w:sz w:val="24"/>
          <w:szCs w:val="24"/>
          <w:lang w:val="af-ZA"/>
        </w:rPr>
      </w:pPr>
    </w:p>
    <w:p w:rsidR="008C547A" w:rsidRDefault="008C547A" w:rsidP="008C547A">
      <w:pPr>
        <w:rPr>
          <w:rFonts w:ascii="Times New Roman" w:hAnsi="Times New Roman" w:cs="Times New Roman"/>
          <w:b/>
          <w:sz w:val="24"/>
          <w:szCs w:val="24"/>
          <w:lang w:val="af-ZA"/>
        </w:rPr>
      </w:pPr>
    </w:p>
    <w:p w:rsidR="008C547A" w:rsidRDefault="008C547A" w:rsidP="008C547A">
      <w:pPr>
        <w:rPr>
          <w:rFonts w:ascii="Times New Roman" w:hAnsi="Times New Roman" w:cs="Times New Roman"/>
          <w:b/>
          <w:sz w:val="24"/>
          <w:szCs w:val="24"/>
          <w:lang w:val="af-ZA"/>
        </w:rPr>
      </w:pPr>
    </w:p>
    <w:p w:rsidR="008C547A" w:rsidRDefault="008C547A" w:rsidP="008C547A">
      <w:pPr>
        <w:rPr>
          <w:rFonts w:ascii="Times New Roman" w:hAnsi="Times New Roman" w:cs="Times New Roman"/>
          <w:b/>
          <w:sz w:val="24"/>
          <w:szCs w:val="24"/>
          <w:lang w:val="af-ZA"/>
        </w:rPr>
      </w:pPr>
    </w:p>
    <w:p w:rsidR="008C547A" w:rsidRDefault="008C547A" w:rsidP="008C547A">
      <w:pPr>
        <w:rPr>
          <w:rFonts w:ascii="Times New Roman" w:hAnsi="Times New Roman" w:cs="Times New Roman"/>
          <w:b/>
          <w:sz w:val="24"/>
          <w:szCs w:val="24"/>
          <w:lang w:val="af-ZA"/>
        </w:rPr>
      </w:pPr>
    </w:p>
    <w:p w:rsidR="008C547A" w:rsidRDefault="008C547A" w:rsidP="008C547A">
      <w:pPr>
        <w:rPr>
          <w:rFonts w:ascii="Times New Roman" w:hAnsi="Times New Roman" w:cs="Times New Roman"/>
          <w:b/>
          <w:sz w:val="24"/>
          <w:szCs w:val="24"/>
          <w:lang w:val="af-ZA"/>
        </w:rPr>
      </w:pPr>
    </w:p>
    <w:p w:rsidR="008C547A" w:rsidRDefault="008C547A" w:rsidP="008C547A">
      <w:pPr>
        <w:rPr>
          <w:rFonts w:ascii="Times New Roman" w:hAnsi="Times New Roman" w:cs="Times New Roman"/>
          <w:b/>
          <w:sz w:val="24"/>
          <w:szCs w:val="24"/>
          <w:lang w:val="af-ZA"/>
        </w:rPr>
      </w:pPr>
    </w:p>
    <w:p w:rsidR="0037477F" w:rsidRDefault="0037477F" w:rsidP="008C547A">
      <w:pPr>
        <w:rPr>
          <w:rFonts w:ascii="Times New Roman" w:hAnsi="Times New Roman" w:cs="Times New Roman"/>
          <w:b/>
          <w:sz w:val="24"/>
          <w:szCs w:val="24"/>
          <w:lang w:val="af-ZA"/>
        </w:rPr>
      </w:pPr>
    </w:p>
    <w:p w:rsidR="0037477F" w:rsidRDefault="0037477F" w:rsidP="008C547A">
      <w:pPr>
        <w:rPr>
          <w:rFonts w:ascii="Times New Roman" w:hAnsi="Times New Roman" w:cs="Times New Roman"/>
          <w:b/>
          <w:sz w:val="24"/>
          <w:szCs w:val="24"/>
          <w:lang w:val="af-ZA"/>
        </w:rPr>
      </w:pPr>
    </w:p>
    <w:p w:rsidR="0037477F" w:rsidRDefault="0037477F" w:rsidP="008C547A">
      <w:pPr>
        <w:rPr>
          <w:rFonts w:ascii="Times New Roman" w:hAnsi="Times New Roman" w:cs="Times New Roman"/>
          <w:b/>
          <w:sz w:val="24"/>
          <w:szCs w:val="24"/>
          <w:lang w:val="af-ZA"/>
        </w:rPr>
      </w:pPr>
    </w:p>
    <w:p w:rsidR="0037477F" w:rsidRDefault="0037477F" w:rsidP="008C547A">
      <w:pPr>
        <w:rPr>
          <w:rFonts w:ascii="Times New Roman" w:hAnsi="Times New Roman" w:cs="Times New Roman"/>
          <w:b/>
          <w:sz w:val="24"/>
          <w:szCs w:val="24"/>
          <w:lang w:val="af-ZA"/>
        </w:rPr>
      </w:pPr>
    </w:p>
    <w:p w:rsidR="0037477F" w:rsidRDefault="0037477F" w:rsidP="008C547A">
      <w:pPr>
        <w:rPr>
          <w:rFonts w:ascii="Times New Roman" w:hAnsi="Times New Roman" w:cs="Times New Roman"/>
          <w:b/>
          <w:sz w:val="24"/>
          <w:szCs w:val="24"/>
          <w:lang w:val="af-ZA"/>
        </w:rPr>
      </w:pPr>
    </w:p>
    <w:p w:rsidR="008C547A" w:rsidRPr="00C73671" w:rsidRDefault="008C547A" w:rsidP="008C547A">
      <w:pPr>
        <w:rPr>
          <w:rFonts w:ascii="Times New Roman" w:hAnsi="Times New Roman" w:cs="Times New Roman"/>
          <w:b/>
          <w:sz w:val="24"/>
          <w:szCs w:val="24"/>
          <w:lang w:val="af-ZA"/>
        </w:rPr>
      </w:pPr>
    </w:p>
    <w:p w:rsidR="008C547A" w:rsidRPr="0010526B" w:rsidRDefault="008C547A" w:rsidP="008C547A">
      <w:pPr>
        <w:tabs>
          <w:tab w:val="left" w:pos="6237"/>
        </w:tabs>
        <w:ind w:left="1276" w:hanging="1276"/>
        <w:jc w:val="both"/>
        <w:rPr>
          <w:rFonts w:ascii="Times New Roman" w:hAnsi="Times New Roman" w:cs="Times New Roman"/>
          <w:b/>
          <w:sz w:val="24"/>
          <w:szCs w:val="24"/>
          <w:lang w:val="af-ZA"/>
        </w:rPr>
      </w:pPr>
      <w:r w:rsidRPr="00C73671">
        <w:rPr>
          <w:rFonts w:ascii="Times New Roman" w:hAnsi="Times New Roman" w:cs="Times New Roman"/>
          <w:b/>
          <w:sz w:val="24"/>
          <w:szCs w:val="24"/>
          <w:lang w:val="af-ZA"/>
        </w:rPr>
        <w:lastRenderedPageBreak/>
        <w:t>Annexe 3: Prix des produit</w:t>
      </w:r>
      <w:r>
        <w:rPr>
          <w:rFonts w:ascii="Times New Roman" w:hAnsi="Times New Roman" w:cs="Times New Roman"/>
          <w:b/>
          <w:sz w:val="24"/>
          <w:szCs w:val="24"/>
          <w:lang w:val="af-ZA"/>
        </w:rPr>
        <w:t xml:space="preserve">s agricoles des mois  de Mars  et d’avril </w:t>
      </w:r>
      <w:r w:rsidRPr="00C73671">
        <w:rPr>
          <w:rFonts w:ascii="Times New Roman" w:hAnsi="Times New Roman" w:cs="Times New Roman"/>
          <w:b/>
          <w:sz w:val="24"/>
          <w:szCs w:val="24"/>
          <w:lang w:val="af-ZA"/>
        </w:rPr>
        <w:t>2023</w:t>
      </w:r>
    </w:p>
    <w:tbl>
      <w:tblPr>
        <w:tblW w:w="8789" w:type="dxa"/>
        <w:tblInd w:w="-5" w:type="dxa"/>
        <w:tblLook w:val="04A0" w:firstRow="1" w:lastRow="0" w:firstColumn="1" w:lastColumn="0" w:noHBand="0" w:noVBand="1"/>
      </w:tblPr>
      <w:tblGrid>
        <w:gridCol w:w="1200"/>
        <w:gridCol w:w="1463"/>
        <w:gridCol w:w="1023"/>
        <w:gridCol w:w="850"/>
        <w:gridCol w:w="2127"/>
        <w:gridCol w:w="2126"/>
      </w:tblGrid>
      <w:tr w:rsidR="0037477F" w:rsidRPr="0037477F" w:rsidTr="0037477F">
        <w:trPr>
          <w:trHeight w:val="900"/>
          <w:tblHeader/>
        </w:trPr>
        <w:tc>
          <w:tcPr>
            <w:tcW w:w="1200" w:type="dxa"/>
            <w:tcBorders>
              <w:top w:val="single" w:sz="4" w:space="0" w:color="auto"/>
              <w:left w:val="single" w:sz="4" w:space="0" w:color="auto"/>
              <w:bottom w:val="single" w:sz="4" w:space="0" w:color="auto"/>
              <w:right w:val="single" w:sz="4" w:space="0" w:color="auto"/>
            </w:tcBorders>
            <w:shd w:val="clear" w:color="000000" w:fill="E2EFDA"/>
            <w:vAlign w:val="center"/>
            <w:hideMark/>
          </w:tcPr>
          <w:p w:rsidR="0037477F" w:rsidRPr="0037477F" w:rsidRDefault="0037477F" w:rsidP="0037477F">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N</w:t>
            </w:r>
            <w:r w:rsidRPr="0037477F">
              <w:rPr>
                <w:rFonts w:ascii="Times New Roman" w:eastAsia="Times New Roman" w:hAnsi="Times New Roman" w:cs="Times New Roman"/>
                <w:color w:val="000000"/>
                <w:sz w:val="22"/>
                <w:szCs w:val="22"/>
                <w:vertAlign w:val="superscript"/>
                <w:lang w:val="af-ZA" w:bidi="ar-SA"/>
              </w:rPr>
              <w:t>o</w:t>
            </w:r>
          </w:p>
        </w:tc>
        <w:tc>
          <w:tcPr>
            <w:tcW w:w="1463" w:type="dxa"/>
            <w:tcBorders>
              <w:top w:val="single" w:sz="4" w:space="0" w:color="auto"/>
              <w:left w:val="nil"/>
              <w:bottom w:val="single" w:sz="4" w:space="0" w:color="auto"/>
              <w:right w:val="single" w:sz="4" w:space="0" w:color="auto"/>
            </w:tcBorders>
            <w:shd w:val="clear" w:color="000000" w:fill="E2EFDA"/>
            <w:vAlign w:val="center"/>
            <w:hideMark/>
          </w:tcPr>
          <w:p w:rsidR="0037477F" w:rsidRPr="0037477F" w:rsidRDefault="0037477F" w:rsidP="0037477F">
            <w:pPr>
              <w:spacing w:before="0" w:after="0" w:line="240" w:lineRule="auto"/>
              <w:jc w:val="center"/>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Nomdu produit</w:t>
            </w:r>
          </w:p>
        </w:tc>
        <w:tc>
          <w:tcPr>
            <w:tcW w:w="1023" w:type="dxa"/>
            <w:tcBorders>
              <w:top w:val="single" w:sz="4" w:space="0" w:color="auto"/>
              <w:left w:val="nil"/>
              <w:bottom w:val="single" w:sz="4" w:space="0" w:color="auto"/>
              <w:right w:val="single" w:sz="4" w:space="0" w:color="auto"/>
            </w:tcBorders>
            <w:shd w:val="clear" w:color="000000" w:fill="E2EFDA"/>
            <w:vAlign w:val="center"/>
            <w:hideMark/>
          </w:tcPr>
          <w:p w:rsidR="0037477F" w:rsidRPr="0037477F" w:rsidRDefault="0037477F" w:rsidP="0037477F">
            <w:pPr>
              <w:spacing w:before="0" w:after="0" w:line="240" w:lineRule="auto"/>
              <w:jc w:val="center"/>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Quantité</w:t>
            </w:r>
          </w:p>
        </w:tc>
        <w:tc>
          <w:tcPr>
            <w:tcW w:w="850" w:type="dxa"/>
            <w:tcBorders>
              <w:top w:val="single" w:sz="4" w:space="0" w:color="auto"/>
              <w:left w:val="nil"/>
              <w:bottom w:val="single" w:sz="4" w:space="0" w:color="auto"/>
              <w:right w:val="single" w:sz="4" w:space="0" w:color="auto"/>
            </w:tcBorders>
            <w:shd w:val="clear" w:color="000000" w:fill="E2EFDA"/>
            <w:vAlign w:val="center"/>
            <w:hideMark/>
          </w:tcPr>
          <w:p w:rsidR="0037477F" w:rsidRPr="0037477F" w:rsidRDefault="0037477F" w:rsidP="0037477F">
            <w:pPr>
              <w:spacing w:before="0" w:after="0" w:line="240" w:lineRule="auto"/>
              <w:jc w:val="center"/>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Unité</w:t>
            </w:r>
          </w:p>
        </w:tc>
        <w:tc>
          <w:tcPr>
            <w:tcW w:w="2127" w:type="dxa"/>
            <w:tcBorders>
              <w:top w:val="single" w:sz="4" w:space="0" w:color="auto"/>
              <w:left w:val="nil"/>
              <w:bottom w:val="single" w:sz="4" w:space="0" w:color="auto"/>
              <w:right w:val="single" w:sz="4" w:space="0" w:color="auto"/>
            </w:tcBorders>
            <w:shd w:val="clear" w:color="000000" w:fill="E2EFDA"/>
            <w:vAlign w:val="center"/>
            <w:hideMark/>
          </w:tcPr>
          <w:p w:rsidR="0037477F" w:rsidRPr="0037477F" w:rsidRDefault="0037477F" w:rsidP="0037477F">
            <w:pPr>
              <w:spacing w:before="0" w:after="0" w:line="240" w:lineRule="auto"/>
              <w:jc w:val="center"/>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Prix du mois de Mars 2023 en FBU</w:t>
            </w:r>
          </w:p>
        </w:tc>
        <w:tc>
          <w:tcPr>
            <w:tcW w:w="2126" w:type="dxa"/>
            <w:tcBorders>
              <w:top w:val="single" w:sz="4" w:space="0" w:color="auto"/>
              <w:left w:val="nil"/>
              <w:bottom w:val="single" w:sz="4" w:space="0" w:color="auto"/>
              <w:right w:val="single" w:sz="4" w:space="0" w:color="auto"/>
            </w:tcBorders>
            <w:shd w:val="clear" w:color="000000" w:fill="E2EFDA"/>
            <w:vAlign w:val="center"/>
            <w:hideMark/>
          </w:tcPr>
          <w:p w:rsidR="0037477F" w:rsidRPr="0037477F" w:rsidRDefault="0037477F" w:rsidP="0037477F">
            <w:pPr>
              <w:spacing w:before="0" w:after="0" w:line="240" w:lineRule="auto"/>
              <w:jc w:val="center"/>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Prix du mois d'Avril 2023 en Fbu</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Blé</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2975</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3250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Maïs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1679</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1498</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Riz paddy</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2289</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2339</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Sorgho à graines rouges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1870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1790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Sorgho à graines blanches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2400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 </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Eleusine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1998</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1798</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7</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Pomme de terre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996</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1075</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8</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Manioc doux</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768</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821</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9</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Manioc amer</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703</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686</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11</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Colocase (amateke y'Ikizungu)</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1157</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1124</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12</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Patates douces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647</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605</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13</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Haricots jaune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3598</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3634</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14</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Haricots rouge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3162</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3225</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15</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Haricots mélangé (kirundo)</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3090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3171</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16</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Petit pois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4331</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4498</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17</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Niébé</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4000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 </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19</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Arachides( coques ou décortiqué)</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7094</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7250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20</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Soja</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2333</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2233</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21</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Tournesol</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1000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1000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22</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Amarantes (lenga lenga)</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459</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506</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23</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Ognons rouges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1449</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1539</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lastRenderedPageBreak/>
              <w:t>24</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Ognons blancs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1518</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1521</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25</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Aubergine violette (Viringanya)</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392</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413</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26</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Aubergine Amer ( z'Ikirundi)</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637</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646</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27</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Tomate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924</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1100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28</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Choux pomme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290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286</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29</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Poireau</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1408</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1397</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30</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Poivron</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1187</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1134</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31</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Carotte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1039</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1139</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32</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Epinard</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642</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623</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34</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Café cérise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800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800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35</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Thé(feuille verte)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280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280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36</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coton graine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550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550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37</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Canne à sucre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Tonne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10000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10000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38</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Banane à cuire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736</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782</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39</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Banane à vin</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484</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488</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40</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Bananes à fruits longues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544</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587</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41</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Bananes à fruits courtes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957</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966</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42</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Ananas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536</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570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43</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Oranges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1704</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1106</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44</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Mandarines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3084</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1636</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45</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Citrons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732</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635</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46</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Maracouja</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1477</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1371</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47</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Avocats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686</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692</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48</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Mangues de grande taille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4082</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3968</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49</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Mangue de petite taille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472</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659</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lastRenderedPageBreak/>
              <w:t>50</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Prune du Japon</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2010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1968</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51</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Taureau sur pied race locale (4 à 5 ans)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Tête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1338000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1392125</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52</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Vache sur pied (4 à 5 ans)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Tête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1173864</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1207727</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53</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Mouton sur pied (3 à 5 ans)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Tête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105872</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105538</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54</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Chèvre locale sur pied (3 à 5 ans)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Tête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118010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121610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55</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Porcins sur pied (1 à 2 ans)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Tête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273462</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271396</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56</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Lapin</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Tête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10098</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10357</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57</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Poules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11033</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11244</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58</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Canards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7480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8476</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59</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Cobayes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Tête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1384</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1282</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60</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Lait de vache brut</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Littre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1000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1018</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61</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Œufs</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Unité</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478</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491</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62</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Miel</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Kg</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7757</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7950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63</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Grumes (bois d'œuvre)( Planche)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Pièce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3782</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3796</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64</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Bois de chauffe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Stère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11979</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12042</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65</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 xml:space="preserve">Charbon de bois </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Sac</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17995</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18226</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66</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Ndagala</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Caisse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900833</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980000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67</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Nyamunyamu</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Caisse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690000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694167</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68</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Kahuzo</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Caisse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472500</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710000</w:t>
            </w:r>
          </w:p>
        </w:tc>
      </w:tr>
      <w:tr w:rsidR="0037477F" w:rsidRPr="0037477F" w:rsidTr="0037477F">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69</w:t>
            </w:r>
          </w:p>
        </w:tc>
        <w:tc>
          <w:tcPr>
            <w:tcW w:w="146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Mukeke</w:t>
            </w:r>
          </w:p>
        </w:tc>
        <w:tc>
          <w:tcPr>
            <w:tcW w:w="1023"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w:t>
            </w:r>
          </w:p>
        </w:tc>
        <w:tc>
          <w:tcPr>
            <w:tcW w:w="850"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Caisse</w:t>
            </w:r>
          </w:p>
        </w:tc>
        <w:tc>
          <w:tcPr>
            <w:tcW w:w="2127"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916667</w:t>
            </w:r>
          </w:p>
        </w:tc>
        <w:tc>
          <w:tcPr>
            <w:tcW w:w="2126" w:type="dxa"/>
            <w:tcBorders>
              <w:top w:val="nil"/>
              <w:left w:val="nil"/>
              <w:bottom w:val="single" w:sz="4" w:space="0" w:color="auto"/>
              <w:right w:val="single" w:sz="4" w:space="0" w:color="auto"/>
            </w:tcBorders>
            <w:shd w:val="clear" w:color="auto" w:fill="auto"/>
            <w:noWrap/>
            <w:vAlign w:val="bottom"/>
            <w:hideMark/>
          </w:tcPr>
          <w:p w:rsidR="0037477F" w:rsidRPr="0037477F" w:rsidRDefault="0037477F" w:rsidP="0037477F">
            <w:pPr>
              <w:spacing w:before="0" w:after="0" w:line="240" w:lineRule="auto"/>
              <w:jc w:val="right"/>
              <w:rPr>
                <w:rFonts w:ascii="Times New Roman" w:eastAsia="Times New Roman" w:hAnsi="Times New Roman" w:cs="Times New Roman"/>
                <w:color w:val="000000"/>
                <w:sz w:val="22"/>
                <w:szCs w:val="22"/>
                <w:lang w:val="af-ZA" w:bidi="ar-SA"/>
              </w:rPr>
            </w:pPr>
            <w:r w:rsidRPr="0037477F">
              <w:rPr>
                <w:rFonts w:ascii="Times New Roman" w:eastAsia="Times New Roman" w:hAnsi="Times New Roman" w:cs="Times New Roman"/>
                <w:color w:val="000000"/>
                <w:sz w:val="22"/>
                <w:szCs w:val="22"/>
                <w:lang w:val="af-ZA" w:bidi="ar-SA"/>
              </w:rPr>
              <w:t>1525000</w:t>
            </w:r>
          </w:p>
        </w:tc>
      </w:tr>
    </w:tbl>
    <w:p w:rsidR="008C547A" w:rsidRDefault="008C547A" w:rsidP="008C547A">
      <w:pPr>
        <w:autoSpaceDE w:val="0"/>
        <w:autoSpaceDN w:val="0"/>
        <w:adjustRightInd w:val="0"/>
        <w:spacing w:before="0" w:after="0"/>
        <w:jc w:val="both"/>
        <w:rPr>
          <w:rFonts w:ascii="Times New Roman" w:hAnsi="Times New Roman" w:cs="Times New Roman"/>
          <w:sz w:val="24"/>
          <w:szCs w:val="24"/>
          <w:lang w:val="af-ZA"/>
        </w:rPr>
      </w:pPr>
    </w:p>
    <w:p w:rsidR="00B324CE" w:rsidRDefault="00B324CE" w:rsidP="008C547A">
      <w:pPr>
        <w:autoSpaceDE w:val="0"/>
        <w:autoSpaceDN w:val="0"/>
        <w:adjustRightInd w:val="0"/>
        <w:spacing w:before="0" w:after="0"/>
        <w:jc w:val="both"/>
        <w:rPr>
          <w:rFonts w:ascii="Tahoma" w:hAnsi="Tahoma" w:cs="Tahoma"/>
          <w:b/>
          <w:sz w:val="22"/>
          <w:szCs w:val="22"/>
          <w:lang w:val="af-ZA"/>
        </w:rPr>
      </w:pPr>
    </w:p>
    <w:p w:rsidR="008C547A" w:rsidRPr="00C73671" w:rsidRDefault="008C547A" w:rsidP="008C547A">
      <w:pPr>
        <w:autoSpaceDE w:val="0"/>
        <w:autoSpaceDN w:val="0"/>
        <w:adjustRightInd w:val="0"/>
        <w:spacing w:before="0" w:after="0"/>
        <w:jc w:val="both"/>
        <w:rPr>
          <w:rFonts w:ascii="Times New Roman" w:hAnsi="Times New Roman" w:cs="Times New Roman"/>
          <w:b/>
          <w:bCs/>
          <w:sz w:val="24"/>
          <w:szCs w:val="24"/>
          <w:lang w:val="af-ZA" w:bidi="ar-SA"/>
        </w:rPr>
      </w:pPr>
      <w:r w:rsidRPr="00C73671">
        <w:rPr>
          <w:rFonts w:ascii="Times New Roman" w:hAnsi="Times New Roman" w:cs="Times New Roman"/>
          <w:b/>
          <w:bCs/>
          <w:sz w:val="24"/>
          <w:szCs w:val="24"/>
          <w:lang w:val="af-ZA" w:bidi="ar-SA"/>
        </w:rPr>
        <w:lastRenderedPageBreak/>
        <w:t>Annexe 4 : Note méthodologique</w:t>
      </w:r>
    </w:p>
    <w:p w:rsidR="008C547A" w:rsidRPr="00C73671" w:rsidRDefault="008C547A" w:rsidP="008C547A">
      <w:pPr>
        <w:autoSpaceDE w:val="0"/>
        <w:autoSpaceDN w:val="0"/>
        <w:adjustRightInd w:val="0"/>
        <w:spacing w:before="0" w:after="0"/>
        <w:jc w:val="both"/>
        <w:rPr>
          <w:rFonts w:ascii="Times New Roman" w:hAnsi="Times New Roman" w:cs="Times New Roman"/>
          <w:b/>
          <w:bCs/>
          <w:sz w:val="24"/>
          <w:szCs w:val="24"/>
          <w:lang w:val="en-US" w:bidi="ar-SA"/>
        </w:rPr>
      </w:pPr>
    </w:p>
    <w:p w:rsidR="008C547A" w:rsidRPr="00C73671" w:rsidRDefault="008C547A" w:rsidP="008C547A">
      <w:pPr>
        <w:pStyle w:val="Paragraphedeliste"/>
        <w:numPr>
          <w:ilvl w:val="0"/>
          <w:numId w:val="1"/>
        </w:numPr>
        <w:autoSpaceDE w:val="0"/>
        <w:autoSpaceDN w:val="0"/>
        <w:adjustRightInd w:val="0"/>
        <w:spacing w:before="0" w:after="0"/>
        <w:jc w:val="both"/>
        <w:rPr>
          <w:rFonts w:ascii="Times New Roman" w:hAnsi="Times New Roman" w:cs="Times New Roman"/>
          <w:b/>
          <w:bCs/>
          <w:sz w:val="24"/>
          <w:szCs w:val="24"/>
          <w:lang w:val="af-ZA" w:bidi="ar-SA"/>
        </w:rPr>
      </w:pPr>
      <w:r w:rsidRPr="00C73671">
        <w:rPr>
          <w:rFonts w:ascii="Times New Roman" w:hAnsi="Times New Roman" w:cs="Times New Roman"/>
          <w:b/>
          <w:bCs/>
          <w:sz w:val="24"/>
          <w:szCs w:val="24"/>
          <w:lang w:val="af-ZA" w:bidi="ar-SA"/>
        </w:rPr>
        <w:t>Définition et couverture</w:t>
      </w:r>
    </w:p>
    <w:p w:rsidR="008C547A" w:rsidRPr="00C73671" w:rsidRDefault="008C547A" w:rsidP="008C547A">
      <w:pPr>
        <w:autoSpaceDE w:val="0"/>
        <w:autoSpaceDN w:val="0"/>
        <w:adjustRightInd w:val="0"/>
        <w:spacing w:before="0" w:after="0"/>
        <w:jc w:val="both"/>
        <w:rPr>
          <w:rFonts w:ascii="Times New Roman" w:hAnsi="Times New Roman" w:cs="Times New Roman"/>
          <w:b/>
          <w:bCs/>
          <w:sz w:val="24"/>
          <w:szCs w:val="24"/>
          <w:lang w:val="en-US" w:bidi="ar-SA"/>
        </w:rPr>
      </w:pP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L’Institut National de la Statistiques du Burundi (INSBU) met à la disposition du public, un indicateur de mesure de l’inflation des produits de l’agriculture ; de l’élevage et de la pêche.</w:t>
      </w: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Dénommé « Indice des prix à la Production agricole ». Il comprend les céréales ; les tubercules et racines ; les légumineuses ; les plantes oléagineuses ; les cultures industrielles ; les légumes frais ; la banane ; les fruits frais, les bovins, les ovins et caprins ; les porcins ; les produits d’élevages et volailles, les sous-produits de l’élevage ; les produits de la sylviculture et de l’exploitation forestière ainsi que les produits de la pêche (coutumière et artisanale).</w:t>
      </w: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L’Indice des Prix à la Production Agricole au Burundi (IPPAB) vise à mesurer l’évolution, dans le temps, des prix reçus par les agriculteurs-éleveurs par rapport à la situation de référence. Il ne donne pas le niveau des prix entre deux périodes, mais s’intéresse à comment les prix pratiqués ou reçus par les producteurs augmentent ou diminuent dans le temps. </w:t>
      </w: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En d’autres termes, il prédit ce que seront les prix à la consommation. L'observation des prix intervient à la première mise en marché, en principe à la sortie des exploitations agricoles. C’est un prix au premier stade de la production, à la différence des prix à la consommation. Il faut exclure, dans la mesure du possible, les marges des intermédiaires, taxes et subventions, les coûts de transport et les coûts de stockage. </w:t>
      </w: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Cet IPPAB est utilisé par les systèmes statistiques, les autorités nationales et locales, les partenaires au développement, les agents économiques publics et privés, les chercheurs etc. Il est établi à l'aide des données sur les prix exprimés en francs Burundais. La couverture de l’indice des prix à la production est l’ensemble du territoire national sauf la Mairie de Bujumbura. </w:t>
      </w: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73671" w:rsidRDefault="008C547A" w:rsidP="008C547A">
      <w:pPr>
        <w:autoSpaceDE w:val="0"/>
        <w:autoSpaceDN w:val="0"/>
        <w:adjustRightInd w:val="0"/>
        <w:spacing w:before="0" w:after="0"/>
        <w:ind w:right="-590"/>
        <w:jc w:val="both"/>
        <w:rPr>
          <w:rFonts w:ascii="Times New Roman" w:hAnsi="Times New Roman" w:cs="Times New Roman"/>
          <w:b/>
          <w:sz w:val="24"/>
          <w:szCs w:val="24"/>
          <w:lang w:bidi="ar-SA"/>
        </w:rPr>
      </w:pPr>
      <w:r w:rsidRPr="00C73671">
        <w:rPr>
          <w:rFonts w:ascii="Times New Roman" w:hAnsi="Times New Roman" w:cs="Times New Roman"/>
          <w:b/>
          <w:sz w:val="24"/>
          <w:szCs w:val="24"/>
          <w:lang w:bidi="ar-SA"/>
        </w:rPr>
        <w:t>2. Pondération</w:t>
      </w: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L’année de base est de 2018 avec des coefficients de pondération qui ont été calculés à l’aide des structures des comptes nationaux de 2014. </w:t>
      </w: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73671" w:rsidRDefault="008C547A" w:rsidP="008C547A">
      <w:pPr>
        <w:autoSpaceDE w:val="0"/>
        <w:autoSpaceDN w:val="0"/>
        <w:adjustRightInd w:val="0"/>
        <w:spacing w:before="0" w:after="0"/>
        <w:ind w:right="-590"/>
        <w:jc w:val="both"/>
        <w:rPr>
          <w:rFonts w:ascii="Times New Roman" w:hAnsi="Times New Roman" w:cs="Times New Roman"/>
          <w:b/>
          <w:sz w:val="24"/>
          <w:szCs w:val="24"/>
          <w:lang w:bidi="ar-SA"/>
        </w:rPr>
      </w:pPr>
      <w:r w:rsidRPr="00C73671">
        <w:rPr>
          <w:rFonts w:ascii="Times New Roman" w:hAnsi="Times New Roman" w:cs="Times New Roman"/>
          <w:b/>
          <w:sz w:val="24"/>
          <w:szCs w:val="24"/>
          <w:lang w:bidi="ar-SA"/>
        </w:rPr>
        <w:t>3. Méthodologie</w:t>
      </w: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Les relevés des prix sont effectués chaque mois par les enquêteurs permanents de l’Institut National de la Statistique du Burundi.  Le prix moyen converti du produit est retenu comme une valeur utilisée lors du calcul de l’indice.</w:t>
      </w: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lastRenderedPageBreak/>
        <w:t xml:space="preserve">L'indice des prix à la production des produits agricoles et les indices des groupes de produits agricoles sont calculés à l'aide de la formule de </w:t>
      </w:r>
      <w:proofErr w:type="spellStart"/>
      <w:r w:rsidRPr="00C73671">
        <w:rPr>
          <w:rFonts w:ascii="Times New Roman" w:hAnsi="Times New Roman" w:cs="Times New Roman"/>
          <w:sz w:val="24"/>
          <w:szCs w:val="24"/>
          <w:lang w:bidi="ar-SA"/>
        </w:rPr>
        <w:t>Laspeyres</w:t>
      </w:r>
      <w:proofErr w:type="spellEnd"/>
      <w:r w:rsidRPr="00C73671">
        <w:rPr>
          <w:rFonts w:ascii="Times New Roman" w:hAnsi="Times New Roman" w:cs="Times New Roman"/>
          <w:sz w:val="24"/>
          <w:szCs w:val="24"/>
          <w:lang w:bidi="ar-SA"/>
        </w:rPr>
        <w:t>. L’indice, pour un certain groupe de produits et pour une année donnée, est, par conséquent, calculé comme la valeur à prix courant des produits appartenant au groupe, divisé par la valeur au prix de la période de base du même panier de produits. Les Indices des prix des produits individuels sont calculés en divisant les prix en monnaie locale au cours d'une année donnée par les prix en monnaie locale au cours de la période de base.</w:t>
      </w: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La publication est mensuelle.</w:t>
      </w:r>
    </w:p>
    <w:p w:rsidR="008C547A" w:rsidRPr="00C73671"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73671" w:rsidRDefault="008C547A" w:rsidP="008C547A">
      <w:pPr>
        <w:rPr>
          <w:rFonts w:ascii="Times New Roman" w:hAnsi="Times New Roman" w:cs="Times New Roman"/>
        </w:rPr>
      </w:pPr>
      <w:r w:rsidRPr="00C73671">
        <w:rPr>
          <w:rFonts w:ascii="Times New Roman" w:hAnsi="Times New Roman" w:cs="Times New Roman"/>
          <w:sz w:val="24"/>
          <w:szCs w:val="24"/>
          <w:lang w:bidi="ar-SA"/>
        </w:rPr>
        <w:t>Des compléments méthodologiques sont disponibles à l’INSBU, au niveau du service en charge de la production de l’IPPAB</w:t>
      </w:r>
    </w:p>
    <w:p w:rsidR="008C547A" w:rsidRDefault="008C547A" w:rsidP="008C547A"/>
    <w:p w:rsidR="008C547A" w:rsidRDefault="008C547A" w:rsidP="008C547A"/>
    <w:p w:rsidR="008C547A" w:rsidRDefault="008C547A" w:rsidP="008C547A"/>
    <w:p w:rsidR="005E690F" w:rsidRDefault="005E690F"/>
    <w:sectPr w:rsidR="005E690F" w:rsidSect="008C547A">
      <w:pgSz w:w="12240" w:h="15840"/>
      <w:pgMar w:top="1440" w:right="1325"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713" w:type="pct"/>
      <w:tblBorders>
        <w:top w:val="single" w:sz="18" w:space="0" w:color="808080"/>
        <w:insideV w:val="single" w:sz="18" w:space="0" w:color="808080"/>
      </w:tblBorders>
      <w:tblLook w:val="04A0" w:firstRow="1" w:lastRow="0" w:firstColumn="1" w:lastColumn="0" w:noHBand="0" w:noVBand="1"/>
    </w:tblPr>
    <w:tblGrid>
      <w:gridCol w:w="8843"/>
    </w:tblGrid>
    <w:tr w:rsidR="0037477F" w:rsidRPr="00971FB4" w:rsidTr="008C547A">
      <w:tc>
        <w:tcPr>
          <w:tcW w:w="12419" w:type="dxa"/>
        </w:tcPr>
        <w:tbl>
          <w:tblPr>
            <w:tblW w:w="5000" w:type="pct"/>
            <w:tblBorders>
              <w:top w:val="single" w:sz="18" w:space="0" w:color="808080"/>
              <w:insideV w:val="single" w:sz="18" w:space="0" w:color="808080"/>
            </w:tblBorders>
            <w:tblLook w:val="04A0" w:firstRow="1" w:lastRow="0" w:firstColumn="1" w:lastColumn="0" w:noHBand="0" w:noVBand="1"/>
          </w:tblPr>
          <w:tblGrid>
            <w:gridCol w:w="897"/>
            <w:gridCol w:w="7730"/>
          </w:tblGrid>
          <w:tr w:rsidR="0037477F" w:rsidRPr="00745880" w:rsidTr="008C547A">
            <w:tc>
              <w:tcPr>
                <w:tcW w:w="918" w:type="dxa"/>
              </w:tcPr>
              <w:p w:rsidR="0037477F" w:rsidRDefault="0037477F" w:rsidP="008C547A">
                <w:pPr>
                  <w:pStyle w:val="Pieddepage"/>
                  <w:jc w:val="right"/>
                  <w:rPr>
                    <w:b/>
                    <w:color w:val="4F81BD"/>
                    <w:sz w:val="32"/>
                    <w:szCs w:val="32"/>
                  </w:rPr>
                </w:pPr>
                <w:r>
                  <w:fldChar w:fldCharType="begin"/>
                </w:r>
                <w:r>
                  <w:instrText xml:space="preserve"> PAGE   \* MERGEFORMAT </w:instrText>
                </w:r>
                <w:r>
                  <w:fldChar w:fldCharType="separate"/>
                </w:r>
                <w:r w:rsidR="000007F6" w:rsidRPr="000007F6">
                  <w:rPr>
                    <w:b/>
                    <w:noProof/>
                    <w:color w:val="4F81BD"/>
                    <w:sz w:val="32"/>
                    <w:szCs w:val="32"/>
                  </w:rPr>
                  <w:t>7</w:t>
                </w:r>
                <w:r>
                  <w:rPr>
                    <w:b/>
                    <w:noProof/>
                    <w:color w:val="4F81BD"/>
                    <w:sz w:val="32"/>
                    <w:szCs w:val="32"/>
                  </w:rPr>
                  <w:fldChar w:fldCharType="end"/>
                </w:r>
              </w:p>
            </w:tc>
            <w:tc>
              <w:tcPr>
                <w:tcW w:w="7938" w:type="dxa"/>
              </w:tcPr>
              <w:p w:rsidR="0037477F" w:rsidRPr="00B311D2" w:rsidRDefault="0037477F" w:rsidP="008C547A">
                <w:pPr>
                  <w:pStyle w:val="Pieddepage"/>
                  <w:pBdr>
                    <w:top w:val="thinThickSmallGap" w:sz="24" w:space="1" w:color="622423"/>
                  </w:pBdr>
                  <w:rPr>
                    <w:rFonts w:ascii="Arial Narrow" w:hAnsi="Arial Narrow"/>
                    <w:b/>
                  </w:rPr>
                </w:pPr>
                <w:r>
                  <w:rPr>
                    <w:rFonts w:ascii="Arial Narrow" w:hAnsi="Arial Narrow"/>
                    <w:b/>
                  </w:rPr>
                  <w:t>INSBU</w:t>
                </w:r>
                <w:r w:rsidRPr="00B311D2">
                  <w:rPr>
                    <w:rFonts w:ascii="Arial Narrow" w:hAnsi="Arial Narrow"/>
                    <w:b/>
                  </w:rPr>
                  <w:t>, Zone ROHERO, Quartier INSS, Avenue de l’Aviation, N°06, B.P. 1156 BUJUMBURA</w:t>
                </w:r>
              </w:p>
              <w:p w:rsidR="0037477F" w:rsidRPr="00DF7137" w:rsidRDefault="0037477F" w:rsidP="008C547A">
                <w:pPr>
                  <w:pStyle w:val="Pieddepage"/>
                  <w:pBdr>
                    <w:top w:val="thinThickSmallGap" w:sz="24" w:space="1" w:color="622423"/>
                  </w:pBdr>
                  <w:rPr>
                    <w:rFonts w:ascii="Arial Narrow" w:hAnsi="Arial Narrow"/>
                    <w:b/>
                    <w:lang w:val="en-US"/>
                  </w:rPr>
                </w:pPr>
                <w:proofErr w:type="spellStart"/>
                <w:r w:rsidRPr="00DF7137">
                  <w:rPr>
                    <w:rFonts w:ascii="Arial Narrow" w:hAnsi="Arial Narrow"/>
                    <w:b/>
                    <w:lang w:val="en-US"/>
                  </w:rPr>
                  <w:t>Tél</w:t>
                </w:r>
                <w:proofErr w:type="spellEnd"/>
                <w:r w:rsidRPr="00DF7137">
                  <w:rPr>
                    <w:rFonts w:ascii="Arial Narrow" w:hAnsi="Arial Narrow"/>
                    <w:b/>
                    <w:lang w:val="en-US"/>
                  </w:rPr>
                  <w:t> : (+257) 22 222149/ 22 226729, 22226734/35, FAX :(+257) 22 222635,</w:t>
                </w:r>
              </w:p>
              <w:p w:rsidR="0037477F" w:rsidRPr="00694995" w:rsidRDefault="0037477F" w:rsidP="008C547A">
                <w:pPr>
                  <w:pStyle w:val="Pieddepage"/>
                  <w:pBdr>
                    <w:top w:val="thinThickSmallGap" w:sz="24" w:space="1" w:color="622423"/>
                  </w:pBdr>
                  <w:rPr>
                    <w:rFonts w:ascii="Arial Narrow" w:hAnsi="Arial Narrow"/>
                    <w:b/>
                    <w:lang w:val="en-US"/>
                  </w:rPr>
                </w:pPr>
                <w:r w:rsidRPr="00694995">
                  <w:rPr>
                    <w:rFonts w:ascii="Arial Narrow" w:hAnsi="Arial Narrow"/>
                    <w:b/>
                    <w:lang w:val="en-US"/>
                  </w:rPr>
                  <w:t>E-mail :</w:t>
                </w:r>
                <w:r w:rsidRPr="00694995">
                  <w:rPr>
                    <w:rStyle w:val="Lienhypertexte"/>
                    <w:b/>
                    <w:lang w:val="en-US"/>
                  </w:rPr>
                  <w:t>ins.burundi@insbu.bi;</w:t>
                </w:r>
                <w:r w:rsidRPr="00694995">
                  <w:rPr>
                    <w:rFonts w:ascii="Arial Narrow" w:hAnsi="Arial Narrow"/>
                    <w:b/>
                    <w:lang w:val="en-US"/>
                  </w:rPr>
                  <w:t xml:space="preserve"> </w:t>
                </w:r>
                <w:hyperlink r:id="rId1" w:history="1">
                  <w:r w:rsidRPr="00694995">
                    <w:rPr>
                      <w:rStyle w:val="Lienhypertexte"/>
                      <w:rFonts w:ascii="Arial Narrow" w:hAnsi="Arial Narrow"/>
                      <w:b/>
                      <w:lang w:val="en-US"/>
                    </w:rPr>
                    <w:t>isteebu@isteebu.bi</w:t>
                  </w:r>
                </w:hyperlink>
                <w:r w:rsidRPr="00694995">
                  <w:rPr>
                    <w:rFonts w:ascii="Arial Narrow" w:hAnsi="Arial Narrow"/>
                    <w:b/>
                    <w:lang w:val="en-US"/>
                  </w:rPr>
                  <w:t xml:space="preserve">, Site Web : </w:t>
                </w:r>
                <w:hyperlink r:id="rId2" w:history="1">
                  <w:r w:rsidRPr="00694995">
                    <w:rPr>
                      <w:rStyle w:val="Lienhypertexte"/>
                      <w:rFonts w:ascii="Arial Narrow" w:hAnsi="Arial Narrow"/>
                      <w:b/>
                      <w:lang w:val="en-US"/>
                    </w:rPr>
                    <w:t>www.isteebu.bi</w:t>
                  </w:r>
                </w:hyperlink>
                <w:r>
                  <w:rPr>
                    <w:rFonts w:ascii="Arial Narrow" w:hAnsi="Arial Narrow"/>
                    <w:b/>
                    <w:lang w:val="en-US"/>
                  </w:rPr>
                  <w:t xml:space="preserve"> ,Twitter : @INSBURUNDI</w:t>
                </w:r>
              </w:p>
              <w:p w:rsidR="0037477F" w:rsidRPr="00127421" w:rsidRDefault="0037477F" w:rsidP="008C547A">
                <w:pPr>
                  <w:widowControl w:val="0"/>
                  <w:spacing w:before="0" w:after="0" w:line="240" w:lineRule="auto"/>
                  <w:jc w:val="center"/>
                  <w:rPr>
                    <w:rFonts w:ascii="Tahoma" w:hAnsi="Tahoma" w:cs="Tahoma"/>
                    <w:b/>
                    <w:color w:val="0000FF"/>
                    <w:sz w:val="14"/>
                    <w:szCs w:val="14"/>
                    <w:u w:val="single"/>
                    <w:lang w:val="it-IT"/>
                  </w:rPr>
                </w:pPr>
              </w:p>
              <w:p w:rsidR="0037477F" w:rsidRPr="00745880" w:rsidRDefault="0037477F" w:rsidP="008C547A">
                <w:pPr>
                  <w:widowControl w:val="0"/>
                  <w:spacing w:before="0" w:after="0" w:line="240" w:lineRule="auto"/>
                  <w:jc w:val="center"/>
                  <w:rPr>
                    <w:lang w:val="it-IT"/>
                  </w:rPr>
                </w:pPr>
                <w:r w:rsidRPr="00B311D2">
                  <w:rPr>
                    <w:rFonts w:ascii="Cambria" w:hAnsi="Cambria"/>
                    <w:b/>
                    <w:i/>
                    <w:sz w:val="24"/>
                    <w:szCs w:val="24"/>
                  </w:rPr>
                  <w:t>Devise : « En</w:t>
                </w:r>
                <w:r>
                  <w:rPr>
                    <w:rFonts w:ascii="Cambria" w:hAnsi="Cambria"/>
                    <w:b/>
                    <w:i/>
                    <w:sz w:val="24"/>
                    <w:szCs w:val="24"/>
                  </w:rPr>
                  <w:t xml:space="preserve"> </w:t>
                </w:r>
                <w:r w:rsidRPr="00B311D2">
                  <w:rPr>
                    <w:rFonts w:ascii="Cambria" w:hAnsi="Cambria"/>
                    <w:b/>
                    <w:i/>
                    <w:sz w:val="24"/>
                    <w:szCs w:val="24"/>
                  </w:rPr>
                  <w:t>marche avec les Statistiques</w:t>
                </w:r>
                <w:r>
                  <w:rPr>
                    <w:rFonts w:ascii="Cambria" w:hAnsi="Cambria"/>
                    <w:b/>
                    <w:i/>
                    <w:sz w:val="24"/>
                    <w:szCs w:val="24"/>
                  </w:rPr>
                  <w:t xml:space="preserve"> </w:t>
                </w:r>
                <w:r w:rsidRPr="00B311D2">
                  <w:rPr>
                    <w:rFonts w:ascii="Cambria" w:hAnsi="Cambria"/>
                    <w:b/>
                    <w:i/>
                    <w:sz w:val="24"/>
                    <w:szCs w:val="24"/>
                  </w:rPr>
                  <w:t>Fiables au Service du Développement »</w:t>
                </w:r>
              </w:p>
            </w:tc>
          </w:tr>
        </w:tbl>
        <w:p w:rsidR="0037477F" w:rsidRPr="00E32C21" w:rsidRDefault="0037477F" w:rsidP="008C547A">
          <w:pPr>
            <w:spacing w:before="0" w:after="0" w:line="240" w:lineRule="auto"/>
            <w:jc w:val="center"/>
            <w:rPr>
              <w:sz w:val="18"/>
              <w:szCs w:val="18"/>
            </w:rPr>
          </w:pPr>
        </w:p>
      </w:tc>
    </w:tr>
  </w:tbl>
  <w:p w:rsidR="0037477F" w:rsidRPr="00FB45B1" w:rsidRDefault="0037477F" w:rsidP="008C547A">
    <w:pPr>
      <w:pStyle w:val="Pieddepage"/>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70391"/>
    <w:multiLevelType w:val="hybridMultilevel"/>
    <w:tmpl w:val="ED0A1696"/>
    <w:lvl w:ilvl="0" w:tplc="BC1C10B4">
      <w:start w:val="1"/>
      <w:numFmt w:val="bullet"/>
      <w:lvlText w:val="•"/>
      <w:lvlJc w:val="left"/>
      <w:pPr>
        <w:tabs>
          <w:tab w:val="num" w:pos="720"/>
        </w:tabs>
        <w:ind w:left="720" w:hanging="360"/>
      </w:pPr>
      <w:rPr>
        <w:rFonts w:ascii="Times New Roman" w:hAnsi="Times New Roman" w:hint="default"/>
      </w:rPr>
    </w:lvl>
    <w:lvl w:ilvl="1" w:tplc="2A94F3F4" w:tentative="1">
      <w:start w:val="1"/>
      <w:numFmt w:val="bullet"/>
      <w:lvlText w:val="•"/>
      <w:lvlJc w:val="left"/>
      <w:pPr>
        <w:tabs>
          <w:tab w:val="num" w:pos="1440"/>
        </w:tabs>
        <w:ind w:left="1440" w:hanging="360"/>
      </w:pPr>
      <w:rPr>
        <w:rFonts w:ascii="Times New Roman" w:hAnsi="Times New Roman" w:hint="default"/>
      </w:rPr>
    </w:lvl>
    <w:lvl w:ilvl="2" w:tplc="93627F34" w:tentative="1">
      <w:start w:val="1"/>
      <w:numFmt w:val="bullet"/>
      <w:lvlText w:val="•"/>
      <w:lvlJc w:val="left"/>
      <w:pPr>
        <w:tabs>
          <w:tab w:val="num" w:pos="2160"/>
        </w:tabs>
        <w:ind w:left="2160" w:hanging="360"/>
      </w:pPr>
      <w:rPr>
        <w:rFonts w:ascii="Times New Roman" w:hAnsi="Times New Roman" w:hint="default"/>
      </w:rPr>
    </w:lvl>
    <w:lvl w:ilvl="3" w:tplc="78780D1C" w:tentative="1">
      <w:start w:val="1"/>
      <w:numFmt w:val="bullet"/>
      <w:lvlText w:val="•"/>
      <w:lvlJc w:val="left"/>
      <w:pPr>
        <w:tabs>
          <w:tab w:val="num" w:pos="2880"/>
        </w:tabs>
        <w:ind w:left="2880" w:hanging="360"/>
      </w:pPr>
      <w:rPr>
        <w:rFonts w:ascii="Times New Roman" w:hAnsi="Times New Roman" w:hint="default"/>
      </w:rPr>
    </w:lvl>
    <w:lvl w:ilvl="4" w:tplc="4A3C5566" w:tentative="1">
      <w:start w:val="1"/>
      <w:numFmt w:val="bullet"/>
      <w:lvlText w:val="•"/>
      <w:lvlJc w:val="left"/>
      <w:pPr>
        <w:tabs>
          <w:tab w:val="num" w:pos="3600"/>
        </w:tabs>
        <w:ind w:left="3600" w:hanging="360"/>
      </w:pPr>
      <w:rPr>
        <w:rFonts w:ascii="Times New Roman" w:hAnsi="Times New Roman" w:hint="default"/>
      </w:rPr>
    </w:lvl>
    <w:lvl w:ilvl="5" w:tplc="B9988F36" w:tentative="1">
      <w:start w:val="1"/>
      <w:numFmt w:val="bullet"/>
      <w:lvlText w:val="•"/>
      <w:lvlJc w:val="left"/>
      <w:pPr>
        <w:tabs>
          <w:tab w:val="num" w:pos="4320"/>
        </w:tabs>
        <w:ind w:left="4320" w:hanging="360"/>
      </w:pPr>
      <w:rPr>
        <w:rFonts w:ascii="Times New Roman" w:hAnsi="Times New Roman" w:hint="default"/>
      </w:rPr>
    </w:lvl>
    <w:lvl w:ilvl="6" w:tplc="B03ED206" w:tentative="1">
      <w:start w:val="1"/>
      <w:numFmt w:val="bullet"/>
      <w:lvlText w:val="•"/>
      <w:lvlJc w:val="left"/>
      <w:pPr>
        <w:tabs>
          <w:tab w:val="num" w:pos="5040"/>
        </w:tabs>
        <w:ind w:left="5040" w:hanging="360"/>
      </w:pPr>
      <w:rPr>
        <w:rFonts w:ascii="Times New Roman" w:hAnsi="Times New Roman" w:hint="default"/>
      </w:rPr>
    </w:lvl>
    <w:lvl w:ilvl="7" w:tplc="E9BC87AC" w:tentative="1">
      <w:start w:val="1"/>
      <w:numFmt w:val="bullet"/>
      <w:lvlText w:val="•"/>
      <w:lvlJc w:val="left"/>
      <w:pPr>
        <w:tabs>
          <w:tab w:val="num" w:pos="5760"/>
        </w:tabs>
        <w:ind w:left="5760" w:hanging="360"/>
      </w:pPr>
      <w:rPr>
        <w:rFonts w:ascii="Times New Roman" w:hAnsi="Times New Roman" w:hint="default"/>
      </w:rPr>
    </w:lvl>
    <w:lvl w:ilvl="8" w:tplc="418296A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62907AB7"/>
    <w:multiLevelType w:val="hybridMultilevel"/>
    <w:tmpl w:val="0F907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47A"/>
    <w:rsid w:val="000007F6"/>
    <w:rsid w:val="00146BB1"/>
    <w:rsid w:val="0035149D"/>
    <w:rsid w:val="0037477F"/>
    <w:rsid w:val="004B4010"/>
    <w:rsid w:val="005E690F"/>
    <w:rsid w:val="007C1488"/>
    <w:rsid w:val="008C547A"/>
    <w:rsid w:val="009451A5"/>
    <w:rsid w:val="00B324CE"/>
    <w:rsid w:val="00D46E91"/>
    <w:rsid w:val="00D47DBA"/>
    <w:rsid w:val="00E7017E"/>
    <w:rsid w:val="00F54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2C045"/>
  <w15:chartTrackingRefBased/>
  <w15:docId w15:val="{2EC53791-7B32-40DE-9BD8-B993B78C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47A"/>
    <w:pPr>
      <w:spacing w:before="200" w:after="200" w:line="276" w:lineRule="auto"/>
    </w:pPr>
    <w:rPr>
      <w:sz w:val="20"/>
      <w:szCs w:val="20"/>
      <w:lang w:val="fr-FR"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basedOn w:val="Normal"/>
    <w:link w:val="SansinterligneCar"/>
    <w:uiPriority w:val="1"/>
    <w:qFormat/>
    <w:rsid w:val="008C547A"/>
    <w:pPr>
      <w:spacing w:before="0" w:after="0" w:line="240" w:lineRule="auto"/>
    </w:pPr>
    <w:rPr>
      <w:lang w:val="en-US"/>
    </w:rPr>
  </w:style>
  <w:style w:type="character" w:customStyle="1" w:styleId="SansinterligneCar">
    <w:name w:val="Sans interligne Car"/>
    <w:basedOn w:val="Policepardfaut"/>
    <w:link w:val="Sansinterligne"/>
    <w:uiPriority w:val="1"/>
    <w:rsid w:val="008C547A"/>
    <w:rPr>
      <w:sz w:val="20"/>
      <w:szCs w:val="20"/>
      <w:lang w:bidi="en-US"/>
    </w:rPr>
  </w:style>
  <w:style w:type="paragraph" w:styleId="Paragraphedeliste">
    <w:name w:val="List Paragraph"/>
    <w:aliases w:val="References,Numbered List Paragraph,Bullets,List Bullet Mary,List Paragraph (numbered (a)),Liste 1,ReferencesCxSpLast,List Paragraph1,Medium Grid 1 - Accent 21,List Paragraph nowy,Texte Général,Paragraphe  revu"/>
    <w:basedOn w:val="Normal"/>
    <w:link w:val="ParagraphedelisteCar"/>
    <w:uiPriority w:val="34"/>
    <w:qFormat/>
    <w:rsid w:val="008C547A"/>
    <w:pPr>
      <w:ind w:left="720"/>
      <w:contextualSpacing/>
    </w:pPr>
  </w:style>
  <w:style w:type="character" w:customStyle="1" w:styleId="ParagraphedelisteCar">
    <w:name w:val="Paragraphe de liste Car"/>
    <w:aliases w:val="References Car,Numbered List Paragraph Car,Bullets Car,List Bullet Mary Car,List Paragraph (numbered (a)) Car,Liste 1 Car,ReferencesCxSpLast Car,List Paragraph1 Car,Medium Grid 1 - Accent 21 Car,List Paragraph nowy Car"/>
    <w:link w:val="Paragraphedeliste"/>
    <w:uiPriority w:val="34"/>
    <w:locked/>
    <w:rsid w:val="008C547A"/>
    <w:rPr>
      <w:sz w:val="20"/>
      <w:szCs w:val="20"/>
      <w:lang w:val="fr-FR" w:bidi="en-US"/>
    </w:rPr>
  </w:style>
  <w:style w:type="character" w:customStyle="1" w:styleId="En-tteCar">
    <w:name w:val="En-tête Car"/>
    <w:basedOn w:val="Policepardfaut"/>
    <w:link w:val="En-tte"/>
    <w:uiPriority w:val="99"/>
    <w:rsid w:val="008C547A"/>
    <w:rPr>
      <w:rFonts w:ascii="Times New Roman" w:eastAsia="Times New Roman" w:hAnsi="Times New Roman" w:cs="Times New Roman"/>
      <w:sz w:val="20"/>
      <w:szCs w:val="20"/>
      <w:lang w:val="fr-FR" w:eastAsia="fr-FR"/>
    </w:rPr>
  </w:style>
  <w:style w:type="paragraph" w:styleId="En-tte">
    <w:name w:val="header"/>
    <w:basedOn w:val="Normal"/>
    <w:link w:val="En-tteCar"/>
    <w:uiPriority w:val="99"/>
    <w:rsid w:val="008C547A"/>
    <w:pPr>
      <w:tabs>
        <w:tab w:val="center" w:pos="4536"/>
        <w:tab w:val="right" w:pos="9072"/>
      </w:tabs>
      <w:spacing w:before="0" w:after="0" w:line="240" w:lineRule="auto"/>
    </w:pPr>
    <w:rPr>
      <w:rFonts w:ascii="Times New Roman" w:eastAsia="Times New Roman" w:hAnsi="Times New Roman" w:cs="Times New Roman"/>
      <w:lang w:eastAsia="fr-FR" w:bidi="ar-SA"/>
    </w:rPr>
  </w:style>
  <w:style w:type="character" w:customStyle="1" w:styleId="En-tteCar1">
    <w:name w:val="En-tête Car1"/>
    <w:basedOn w:val="Policepardfaut"/>
    <w:uiPriority w:val="99"/>
    <w:semiHidden/>
    <w:rsid w:val="008C547A"/>
    <w:rPr>
      <w:sz w:val="20"/>
      <w:szCs w:val="20"/>
      <w:lang w:val="fr-FR" w:bidi="en-US"/>
    </w:rPr>
  </w:style>
  <w:style w:type="character" w:customStyle="1" w:styleId="PieddepageCar">
    <w:name w:val="Pied de page Car"/>
    <w:basedOn w:val="Policepardfaut"/>
    <w:link w:val="Pieddepage"/>
    <w:uiPriority w:val="99"/>
    <w:rsid w:val="008C547A"/>
    <w:rPr>
      <w:sz w:val="20"/>
      <w:szCs w:val="20"/>
      <w:lang w:val="fr-FR" w:bidi="en-US"/>
    </w:rPr>
  </w:style>
  <w:style w:type="paragraph" w:styleId="Pieddepage">
    <w:name w:val="footer"/>
    <w:basedOn w:val="Normal"/>
    <w:link w:val="PieddepageCar"/>
    <w:uiPriority w:val="99"/>
    <w:unhideWhenUsed/>
    <w:rsid w:val="008C547A"/>
    <w:pPr>
      <w:tabs>
        <w:tab w:val="center" w:pos="4536"/>
        <w:tab w:val="right" w:pos="9072"/>
      </w:tabs>
      <w:spacing w:before="0" w:after="0" w:line="240" w:lineRule="auto"/>
    </w:pPr>
  </w:style>
  <w:style w:type="character" w:customStyle="1" w:styleId="PieddepageCar1">
    <w:name w:val="Pied de page Car1"/>
    <w:basedOn w:val="Policepardfaut"/>
    <w:uiPriority w:val="99"/>
    <w:semiHidden/>
    <w:rsid w:val="008C547A"/>
    <w:rPr>
      <w:sz w:val="20"/>
      <w:szCs w:val="20"/>
      <w:lang w:val="fr-FR" w:bidi="en-US"/>
    </w:rPr>
  </w:style>
  <w:style w:type="character" w:styleId="lev">
    <w:name w:val="Strong"/>
    <w:uiPriority w:val="22"/>
    <w:qFormat/>
    <w:rsid w:val="008C547A"/>
    <w:rPr>
      <w:b/>
      <w:bCs/>
    </w:rPr>
  </w:style>
  <w:style w:type="paragraph" w:customStyle="1" w:styleId="Default">
    <w:name w:val="Default"/>
    <w:rsid w:val="008C547A"/>
    <w:pPr>
      <w:autoSpaceDE w:val="0"/>
      <w:autoSpaceDN w:val="0"/>
      <w:adjustRightInd w:val="0"/>
      <w:spacing w:after="0" w:line="240" w:lineRule="auto"/>
    </w:pPr>
    <w:rPr>
      <w:rFonts w:ascii="Times New Roman" w:eastAsiaTheme="minorEastAsia" w:hAnsi="Times New Roman" w:cs="Times New Roman"/>
      <w:color w:val="000000"/>
      <w:sz w:val="24"/>
      <w:szCs w:val="24"/>
      <w:lang w:val="fr-FR" w:eastAsia="fr-FR"/>
    </w:rPr>
  </w:style>
  <w:style w:type="character" w:styleId="Lienhypertexte">
    <w:name w:val="Hyperlink"/>
    <w:basedOn w:val="Policepardfaut"/>
    <w:uiPriority w:val="99"/>
    <w:rsid w:val="008C547A"/>
    <w:rPr>
      <w:color w:val="0000FF"/>
      <w:u w:val="single"/>
    </w:rPr>
  </w:style>
  <w:style w:type="character" w:customStyle="1" w:styleId="TextedebullesCar">
    <w:name w:val="Texte de bulles Car"/>
    <w:basedOn w:val="Policepardfaut"/>
    <w:link w:val="Textedebulles"/>
    <w:uiPriority w:val="99"/>
    <w:semiHidden/>
    <w:rsid w:val="008C547A"/>
    <w:rPr>
      <w:rFonts w:ascii="Tahoma" w:hAnsi="Tahoma" w:cs="Tahoma"/>
      <w:sz w:val="16"/>
      <w:szCs w:val="16"/>
      <w:lang w:val="fr-FR" w:bidi="en-US"/>
    </w:rPr>
  </w:style>
  <w:style w:type="paragraph" w:styleId="Textedebulles">
    <w:name w:val="Balloon Text"/>
    <w:basedOn w:val="Normal"/>
    <w:link w:val="TextedebullesCar"/>
    <w:uiPriority w:val="99"/>
    <w:semiHidden/>
    <w:unhideWhenUsed/>
    <w:rsid w:val="008C547A"/>
    <w:pPr>
      <w:spacing w:before="0" w:after="0" w:line="240" w:lineRule="auto"/>
    </w:pPr>
    <w:rPr>
      <w:rFonts w:ascii="Tahoma" w:hAnsi="Tahoma" w:cs="Tahoma"/>
      <w:sz w:val="16"/>
      <w:szCs w:val="16"/>
    </w:rPr>
  </w:style>
  <w:style w:type="character" w:customStyle="1" w:styleId="TextedebullesCar1">
    <w:name w:val="Texte de bulles Car1"/>
    <w:basedOn w:val="Policepardfaut"/>
    <w:uiPriority w:val="99"/>
    <w:semiHidden/>
    <w:rsid w:val="008C547A"/>
    <w:rPr>
      <w:rFonts w:ascii="Segoe UI" w:hAnsi="Segoe UI" w:cs="Segoe UI"/>
      <w:sz w:val="18"/>
      <w:szCs w:val="18"/>
      <w:lang w:val="fr-FR" w:bidi="en-US"/>
    </w:rPr>
  </w:style>
  <w:style w:type="character" w:customStyle="1" w:styleId="CommentaireCar">
    <w:name w:val="Commentaire Car"/>
    <w:basedOn w:val="Policepardfaut"/>
    <w:link w:val="Commentaire"/>
    <w:uiPriority w:val="99"/>
    <w:semiHidden/>
    <w:rsid w:val="008C547A"/>
    <w:rPr>
      <w:sz w:val="20"/>
      <w:szCs w:val="20"/>
      <w:lang w:val="fr-FR" w:bidi="en-US"/>
    </w:rPr>
  </w:style>
  <w:style w:type="paragraph" w:styleId="Commentaire">
    <w:name w:val="annotation text"/>
    <w:basedOn w:val="Normal"/>
    <w:link w:val="CommentaireCar"/>
    <w:uiPriority w:val="99"/>
    <w:semiHidden/>
    <w:unhideWhenUsed/>
    <w:rsid w:val="008C547A"/>
    <w:pPr>
      <w:spacing w:line="240" w:lineRule="auto"/>
    </w:pPr>
  </w:style>
  <w:style w:type="character" w:customStyle="1" w:styleId="CommentaireCar1">
    <w:name w:val="Commentaire Car1"/>
    <w:basedOn w:val="Policepardfaut"/>
    <w:uiPriority w:val="99"/>
    <w:semiHidden/>
    <w:rsid w:val="008C547A"/>
    <w:rPr>
      <w:sz w:val="20"/>
      <w:szCs w:val="20"/>
      <w:lang w:val="fr-FR" w:bidi="en-US"/>
    </w:rPr>
  </w:style>
  <w:style w:type="character" w:customStyle="1" w:styleId="ObjetducommentaireCar">
    <w:name w:val="Objet du commentaire Car"/>
    <w:basedOn w:val="CommentaireCar"/>
    <w:link w:val="Objetducommentaire"/>
    <w:uiPriority w:val="99"/>
    <w:semiHidden/>
    <w:rsid w:val="008C547A"/>
    <w:rPr>
      <w:b/>
      <w:bCs/>
      <w:sz w:val="20"/>
      <w:szCs w:val="20"/>
      <w:lang w:val="fr-FR" w:bidi="en-US"/>
    </w:rPr>
  </w:style>
  <w:style w:type="paragraph" w:styleId="Objetducommentaire">
    <w:name w:val="annotation subject"/>
    <w:basedOn w:val="Commentaire"/>
    <w:next w:val="Commentaire"/>
    <w:link w:val="ObjetducommentaireCar"/>
    <w:uiPriority w:val="99"/>
    <w:semiHidden/>
    <w:unhideWhenUsed/>
    <w:rsid w:val="008C547A"/>
    <w:rPr>
      <w:b/>
      <w:bCs/>
    </w:rPr>
  </w:style>
  <w:style w:type="character" w:customStyle="1" w:styleId="ObjetducommentaireCar1">
    <w:name w:val="Objet du commentaire Car1"/>
    <w:basedOn w:val="CommentaireCar1"/>
    <w:uiPriority w:val="99"/>
    <w:semiHidden/>
    <w:rsid w:val="008C547A"/>
    <w:rPr>
      <w:b/>
      <w:bCs/>
      <w:sz w:val="20"/>
      <w:szCs w:val="20"/>
      <w:lang w:val="fr-FR"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203723">
      <w:bodyDiv w:val="1"/>
      <w:marLeft w:val="0"/>
      <w:marRight w:val="0"/>
      <w:marTop w:val="0"/>
      <w:marBottom w:val="0"/>
      <w:divBdr>
        <w:top w:val="none" w:sz="0" w:space="0" w:color="auto"/>
        <w:left w:val="none" w:sz="0" w:space="0" w:color="auto"/>
        <w:bottom w:val="none" w:sz="0" w:space="0" w:color="auto"/>
        <w:right w:val="none" w:sz="0" w:space="0" w:color="auto"/>
      </w:divBdr>
    </w:div>
    <w:div w:id="1447191223">
      <w:bodyDiv w:val="1"/>
      <w:marLeft w:val="0"/>
      <w:marRight w:val="0"/>
      <w:marTop w:val="0"/>
      <w:marBottom w:val="0"/>
      <w:divBdr>
        <w:top w:val="none" w:sz="0" w:space="0" w:color="auto"/>
        <w:left w:val="none" w:sz="0" w:space="0" w:color="auto"/>
        <w:bottom w:val="none" w:sz="0" w:space="0" w:color="auto"/>
        <w:right w:val="none" w:sz="0" w:space="0" w:color="auto"/>
      </w:divBdr>
    </w:div>
    <w:div w:id="165186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chart" Target="charts/chart1.xm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chart" Target="charts/chart3.xml"/></Relationships>
</file>

<file path=word/_rels/footer1.xml.rels><?xml version="1.0" encoding="UTF-8" standalone="yes"?>
<Relationships xmlns="http://schemas.openxmlformats.org/package/2006/relationships"><Relationship Id="rId2" Type="http://schemas.openxmlformats.org/officeDocument/2006/relationships/hyperlink" Target="http://www.isteebu.bi" TargetMode="External"/><Relationship Id="rId1" Type="http://schemas.openxmlformats.org/officeDocument/2006/relationships/hyperlink" Target="mailto:isteebu@isteebu.b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cuments\Classeur%20avril%202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cuments\Classeur%20avril%20202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ocuments\Classeur%20avril%202023.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Graphiques!$D$6</c:f>
              <c:strCache>
                <c:ptCount val="1"/>
                <c:pt idx="0">
                  <c:v>Céréales</c:v>
                </c:pt>
              </c:strCache>
            </c:strRef>
          </c:tx>
          <c:spPr>
            <a:solidFill>
              <a:schemeClr val="accent1"/>
            </a:solidFill>
            <a:ln>
              <a:noFill/>
            </a:ln>
            <a:effectLst/>
            <a:sp3d/>
          </c:spPr>
          <c:invertIfNegative val="0"/>
          <c:cat>
            <c:multiLvlStrRef>
              <c:f>Graphiques!$E$4:$J$5</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Graphiques!$E$6:$J$6</c:f>
              <c:numCache>
                <c:formatCode>0.0</c:formatCode>
                <c:ptCount val="6"/>
                <c:pt idx="0">
                  <c:v>266.1779380830983</c:v>
                </c:pt>
                <c:pt idx="1">
                  <c:v>273.23560730305041</c:v>
                </c:pt>
                <c:pt idx="2">
                  <c:v>268.49499131667409</c:v>
                </c:pt>
                <c:pt idx="3">
                  <c:v>268.78511507329637</c:v>
                </c:pt>
                <c:pt idx="4">
                  <c:v>273.42904021023929</c:v>
                </c:pt>
                <c:pt idx="5">
                  <c:v>246.10119148075808</c:v>
                </c:pt>
              </c:numCache>
            </c:numRef>
          </c:val>
          <c:extLst>
            <c:ext xmlns:c16="http://schemas.microsoft.com/office/drawing/2014/chart" uri="{C3380CC4-5D6E-409C-BE32-E72D297353CC}">
              <c16:uniqueId val="{00000000-23ED-4154-A1B9-04230C295787}"/>
            </c:ext>
          </c:extLst>
        </c:ser>
        <c:ser>
          <c:idx val="1"/>
          <c:order val="1"/>
          <c:tx>
            <c:strRef>
              <c:f>Graphiques!$D$7</c:f>
              <c:strCache>
                <c:ptCount val="1"/>
                <c:pt idx="0">
                  <c:v>Tubércules et racines</c:v>
                </c:pt>
              </c:strCache>
            </c:strRef>
          </c:tx>
          <c:spPr>
            <a:solidFill>
              <a:schemeClr val="accent2"/>
            </a:solidFill>
            <a:ln>
              <a:noFill/>
            </a:ln>
            <a:effectLst/>
            <a:sp3d/>
          </c:spPr>
          <c:invertIfNegative val="0"/>
          <c:cat>
            <c:multiLvlStrRef>
              <c:f>Graphiques!$E$4:$J$5</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Graphiques!$E$7:$J$7</c:f>
              <c:numCache>
                <c:formatCode>0.0</c:formatCode>
                <c:ptCount val="6"/>
                <c:pt idx="0">
                  <c:v>119.89810130885229</c:v>
                </c:pt>
                <c:pt idx="1">
                  <c:v>130.46076665019035</c:v>
                </c:pt>
                <c:pt idx="2">
                  <c:v>132.01537626203219</c:v>
                </c:pt>
                <c:pt idx="3">
                  <c:v>135.72393602691534</c:v>
                </c:pt>
                <c:pt idx="4">
                  <c:v>147.80147395789248</c:v>
                </c:pt>
                <c:pt idx="5">
                  <c:v>146.78094209546714</c:v>
                </c:pt>
              </c:numCache>
            </c:numRef>
          </c:val>
          <c:extLst>
            <c:ext xmlns:c16="http://schemas.microsoft.com/office/drawing/2014/chart" uri="{C3380CC4-5D6E-409C-BE32-E72D297353CC}">
              <c16:uniqueId val="{00000001-23ED-4154-A1B9-04230C295787}"/>
            </c:ext>
          </c:extLst>
        </c:ser>
        <c:ser>
          <c:idx val="2"/>
          <c:order val="2"/>
          <c:tx>
            <c:strRef>
              <c:f>Graphiques!$D$8</c:f>
              <c:strCache>
                <c:ptCount val="1"/>
                <c:pt idx="0">
                  <c:v>Légumineuses</c:v>
                </c:pt>
              </c:strCache>
            </c:strRef>
          </c:tx>
          <c:spPr>
            <a:solidFill>
              <a:schemeClr val="accent3"/>
            </a:solidFill>
            <a:ln>
              <a:noFill/>
            </a:ln>
            <a:effectLst/>
            <a:sp3d/>
          </c:spPr>
          <c:invertIfNegative val="0"/>
          <c:cat>
            <c:multiLvlStrRef>
              <c:f>Graphiques!$E$4:$J$5</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Graphiques!$E$8:$J$8</c:f>
              <c:numCache>
                <c:formatCode>0.0</c:formatCode>
                <c:ptCount val="6"/>
                <c:pt idx="0">
                  <c:v>196.71443907479556</c:v>
                </c:pt>
                <c:pt idx="1">
                  <c:v>210.40143072976747</c:v>
                </c:pt>
                <c:pt idx="2">
                  <c:v>234.03923573292786</c:v>
                </c:pt>
                <c:pt idx="3">
                  <c:v>255.88013430268524</c:v>
                </c:pt>
                <c:pt idx="4">
                  <c:v>231.96919722571329</c:v>
                </c:pt>
                <c:pt idx="5">
                  <c:v>235.62913933150548</c:v>
                </c:pt>
              </c:numCache>
            </c:numRef>
          </c:val>
          <c:extLst>
            <c:ext xmlns:c16="http://schemas.microsoft.com/office/drawing/2014/chart" uri="{C3380CC4-5D6E-409C-BE32-E72D297353CC}">
              <c16:uniqueId val="{00000002-23ED-4154-A1B9-04230C295787}"/>
            </c:ext>
          </c:extLst>
        </c:ser>
        <c:ser>
          <c:idx val="3"/>
          <c:order val="3"/>
          <c:tx>
            <c:strRef>
              <c:f>Graphiques!$D$9</c:f>
              <c:strCache>
                <c:ptCount val="1"/>
                <c:pt idx="0">
                  <c:v>Produits des plantes oléagineuses</c:v>
                </c:pt>
              </c:strCache>
            </c:strRef>
          </c:tx>
          <c:spPr>
            <a:solidFill>
              <a:schemeClr val="accent4"/>
            </a:solidFill>
            <a:ln>
              <a:noFill/>
            </a:ln>
            <a:effectLst/>
            <a:sp3d/>
          </c:spPr>
          <c:invertIfNegative val="0"/>
          <c:cat>
            <c:multiLvlStrRef>
              <c:f>Graphiques!$E$4:$J$5</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Graphiques!$E$9:$J$9</c:f>
              <c:numCache>
                <c:formatCode>0.0</c:formatCode>
                <c:ptCount val="6"/>
                <c:pt idx="0">
                  <c:v>244.18085616999164</c:v>
                </c:pt>
                <c:pt idx="1">
                  <c:v>231.41239496193043</c:v>
                </c:pt>
                <c:pt idx="2">
                  <c:v>266.99912844118944</c:v>
                </c:pt>
                <c:pt idx="3">
                  <c:v>306.76600302557699</c:v>
                </c:pt>
                <c:pt idx="4">
                  <c:v>336.6591733741887</c:v>
                </c:pt>
                <c:pt idx="5">
                  <c:v>340.50967989725655</c:v>
                </c:pt>
              </c:numCache>
            </c:numRef>
          </c:val>
          <c:extLst>
            <c:ext xmlns:c16="http://schemas.microsoft.com/office/drawing/2014/chart" uri="{C3380CC4-5D6E-409C-BE32-E72D297353CC}">
              <c16:uniqueId val="{00000003-23ED-4154-A1B9-04230C295787}"/>
            </c:ext>
          </c:extLst>
        </c:ser>
        <c:ser>
          <c:idx val="4"/>
          <c:order val="4"/>
          <c:tx>
            <c:strRef>
              <c:f>Graphiques!$D$10</c:f>
              <c:strCache>
                <c:ptCount val="1"/>
                <c:pt idx="0">
                  <c:v>Cultures industrielles/exportations</c:v>
                </c:pt>
              </c:strCache>
            </c:strRef>
          </c:tx>
          <c:spPr>
            <a:solidFill>
              <a:schemeClr val="accent5"/>
            </a:solidFill>
            <a:ln>
              <a:noFill/>
            </a:ln>
            <a:effectLst/>
            <a:sp3d/>
          </c:spPr>
          <c:invertIfNegative val="0"/>
          <c:cat>
            <c:multiLvlStrRef>
              <c:f>Graphiques!$E$4:$J$5</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Graphiques!$E$10:$J$10</c:f>
              <c:numCache>
                <c:formatCode>0.0</c:formatCode>
                <c:ptCount val="6"/>
                <c:pt idx="0">
                  <c:v>174.56168319417802</c:v>
                </c:pt>
                <c:pt idx="1">
                  <c:v>174.56168319417802</c:v>
                </c:pt>
                <c:pt idx="2">
                  <c:v>174.56168319417802</c:v>
                </c:pt>
                <c:pt idx="3">
                  <c:v>174.56168319417802</c:v>
                </c:pt>
                <c:pt idx="4">
                  <c:v>174.56168319417802</c:v>
                </c:pt>
                <c:pt idx="5">
                  <c:v>174.56168319417802</c:v>
                </c:pt>
              </c:numCache>
            </c:numRef>
          </c:val>
          <c:extLst>
            <c:ext xmlns:c16="http://schemas.microsoft.com/office/drawing/2014/chart" uri="{C3380CC4-5D6E-409C-BE32-E72D297353CC}">
              <c16:uniqueId val="{00000004-23ED-4154-A1B9-04230C295787}"/>
            </c:ext>
          </c:extLst>
        </c:ser>
        <c:dLbls>
          <c:showLegendKey val="0"/>
          <c:showVal val="0"/>
          <c:showCatName val="0"/>
          <c:showSerName val="0"/>
          <c:showPercent val="0"/>
          <c:showBubbleSize val="0"/>
        </c:dLbls>
        <c:gapWidth val="150"/>
        <c:shape val="box"/>
        <c:axId val="524285952"/>
        <c:axId val="524295104"/>
        <c:axId val="0"/>
      </c:bar3DChart>
      <c:catAx>
        <c:axId val="5242859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4295104"/>
        <c:crosses val="autoZero"/>
        <c:auto val="1"/>
        <c:lblAlgn val="ctr"/>
        <c:lblOffset val="100"/>
        <c:noMultiLvlLbl val="0"/>
      </c:catAx>
      <c:valAx>
        <c:axId val="52429510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4285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Graphiques!$D$29</c:f>
              <c:strCache>
                <c:ptCount val="1"/>
                <c:pt idx="0">
                  <c:v>Légumes frais</c:v>
                </c:pt>
              </c:strCache>
            </c:strRef>
          </c:tx>
          <c:spPr>
            <a:solidFill>
              <a:schemeClr val="accent1"/>
            </a:solidFill>
            <a:ln>
              <a:noFill/>
            </a:ln>
            <a:effectLst/>
            <a:sp3d/>
          </c:spPr>
          <c:invertIfNegative val="0"/>
          <c:cat>
            <c:multiLvlStrRef>
              <c:f>Graphiques!$E$27:$J$28</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Graphiques!$E$29:$J$29</c:f>
              <c:numCache>
                <c:formatCode>0.0</c:formatCode>
                <c:ptCount val="6"/>
                <c:pt idx="0">
                  <c:v>135.78767203206198</c:v>
                </c:pt>
                <c:pt idx="1">
                  <c:v>139.82582403158548</c:v>
                </c:pt>
                <c:pt idx="2">
                  <c:v>134.3905689184042</c:v>
                </c:pt>
                <c:pt idx="3">
                  <c:v>129.1368100464918</c:v>
                </c:pt>
                <c:pt idx="4">
                  <c:v>126.47692020157552</c:v>
                </c:pt>
                <c:pt idx="5">
                  <c:v>135.60977262401215</c:v>
                </c:pt>
              </c:numCache>
            </c:numRef>
          </c:val>
          <c:extLst>
            <c:ext xmlns:c16="http://schemas.microsoft.com/office/drawing/2014/chart" uri="{C3380CC4-5D6E-409C-BE32-E72D297353CC}">
              <c16:uniqueId val="{00000000-31EE-4C2A-9EDC-F36D56D71CEE}"/>
            </c:ext>
          </c:extLst>
        </c:ser>
        <c:ser>
          <c:idx val="1"/>
          <c:order val="1"/>
          <c:tx>
            <c:strRef>
              <c:f>Graphiques!$D$30</c:f>
              <c:strCache>
                <c:ptCount val="1"/>
                <c:pt idx="0">
                  <c:v>Banane</c:v>
                </c:pt>
              </c:strCache>
            </c:strRef>
          </c:tx>
          <c:spPr>
            <a:solidFill>
              <a:schemeClr val="accent2"/>
            </a:solidFill>
            <a:ln>
              <a:noFill/>
            </a:ln>
            <a:effectLst/>
            <a:sp3d/>
          </c:spPr>
          <c:invertIfNegative val="0"/>
          <c:cat>
            <c:multiLvlStrRef>
              <c:f>Graphiques!$E$27:$J$28</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Graphiques!$E$30:$J$30</c:f>
              <c:numCache>
                <c:formatCode>0.0</c:formatCode>
                <c:ptCount val="6"/>
                <c:pt idx="0">
                  <c:v>128.33203616611323</c:v>
                </c:pt>
                <c:pt idx="1">
                  <c:v>138.0126568070782</c:v>
                </c:pt>
                <c:pt idx="2">
                  <c:v>143.02579746542025</c:v>
                </c:pt>
                <c:pt idx="3">
                  <c:v>127.03518451371593</c:v>
                </c:pt>
                <c:pt idx="4">
                  <c:v>140.51954958264821</c:v>
                </c:pt>
                <c:pt idx="5">
                  <c:v>143.7898147674866</c:v>
                </c:pt>
              </c:numCache>
            </c:numRef>
          </c:val>
          <c:extLst>
            <c:ext xmlns:c16="http://schemas.microsoft.com/office/drawing/2014/chart" uri="{C3380CC4-5D6E-409C-BE32-E72D297353CC}">
              <c16:uniqueId val="{00000001-31EE-4C2A-9EDC-F36D56D71CEE}"/>
            </c:ext>
          </c:extLst>
        </c:ser>
        <c:ser>
          <c:idx val="2"/>
          <c:order val="2"/>
          <c:tx>
            <c:strRef>
              <c:f>Graphiques!$D$31</c:f>
              <c:strCache>
                <c:ptCount val="1"/>
                <c:pt idx="0">
                  <c:v>Fruits frais</c:v>
                </c:pt>
              </c:strCache>
            </c:strRef>
          </c:tx>
          <c:spPr>
            <a:solidFill>
              <a:schemeClr val="accent3"/>
            </a:solidFill>
            <a:ln>
              <a:noFill/>
            </a:ln>
            <a:effectLst/>
            <a:sp3d/>
          </c:spPr>
          <c:invertIfNegative val="0"/>
          <c:cat>
            <c:multiLvlStrRef>
              <c:f>Graphiques!$E$27:$J$28</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Graphiques!$E$31:$J$31</c:f>
              <c:numCache>
                <c:formatCode>0.0</c:formatCode>
                <c:ptCount val="6"/>
                <c:pt idx="0">
                  <c:v>189.33625524825575</c:v>
                </c:pt>
                <c:pt idx="1">
                  <c:v>199.31308296905075</c:v>
                </c:pt>
                <c:pt idx="2">
                  <c:v>179.06891357804309</c:v>
                </c:pt>
                <c:pt idx="3">
                  <c:v>179.28630427921084</c:v>
                </c:pt>
                <c:pt idx="4">
                  <c:v>239.44037567173586</c:v>
                </c:pt>
                <c:pt idx="5">
                  <c:v>201.74311692629399</c:v>
                </c:pt>
              </c:numCache>
            </c:numRef>
          </c:val>
          <c:extLst>
            <c:ext xmlns:c16="http://schemas.microsoft.com/office/drawing/2014/chart" uri="{C3380CC4-5D6E-409C-BE32-E72D297353CC}">
              <c16:uniqueId val="{00000002-31EE-4C2A-9EDC-F36D56D71CEE}"/>
            </c:ext>
          </c:extLst>
        </c:ser>
        <c:ser>
          <c:idx val="3"/>
          <c:order val="3"/>
          <c:tx>
            <c:strRef>
              <c:f>Graphiques!$D$32</c:f>
              <c:strCache>
                <c:ptCount val="1"/>
                <c:pt idx="0">
                  <c:v>Produits de la sylviculture et de l’exploitation forestière</c:v>
                </c:pt>
              </c:strCache>
            </c:strRef>
          </c:tx>
          <c:spPr>
            <a:solidFill>
              <a:schemeClr val="accent4"/>
            </a:solidFill>
            <a:ln>
              <a:noFill/>
            </a:ln>
            <a:effectLst/>
            <a:sp3d/>
          </c:spPr>
          <c:invertIfNegative val="0"/>
          <c:cat>
            <c:multiLvlStrRef>
              <c:f>Graphiques!$E$27:$J$28</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Graphiques!$E$32:$J$32</c:f>
              <c:numCache>
                <c:formatCode>0.0</c:formatCode>
                <c:ptCount val="6"/>
                <c:pt idx="0">
                  <c:v>88.145869720336862</c:v>
                </c:pt>
                <c:pt idx="1">
                  <c:v>88.583265726560484</c:v>
                </c:pt>
                <c:pt idx="2">
                  <c:v>82.250195171672047</c:v>
                </c:pt>
                <c:pt idx="3">
                  <c:v>89.215524162721522</c:v>
                </c:pt>
                <c:pt idx="4">
                  <c:v>92.142387180512159</c:v>
                </c:pt>
                <c:pt idx="5">
                  <c:v>92.748436490664304</c:v>
                </c:pt>
              </c:numCache>
            </c:numRef>
          </c:val>
          <c:extLst>
            <c:ext xmlns:c16="http://schemas.microsoft.com/office/drawing/2014/chart" uri="{C3380CC4-5D6E-409C-BE32-E72D297353CC}">
              <c16:uniqueId val="{00000003-31EE-4C2A-9EDC-F36D56D71CEE}"/>
            </c:ext>
          </c:extLst>
        </c:ser>
        <c:ser>
          <c:idx val="4"/>
          <c:order val="4"/>
          <c:tx>
            <c:strRef>
              <c:f>Graphiques!$D$33</c:f>
              <c:strCache>
                <c:ptCount val="1"/>
                <c:pt idx="0">
                  <c:v>Produits de la pêche (coutumière et artisanale)</c:v>
                </c:pt>
              </c:strCache>
            </c:strRef>
          </c:tx>
          <c:spPr>
            <a:solidFill>
              <a:schemeClr val="accent5"/>
            </a:solidFill>
            <a:ln>
              <a:noFill/>
            </a:ln>
            <a:effectLst/>
            <a:sp3d/>
          </c:spPr>
          <c:invertIfNegative val="0"/>
          <c:cat>
            <c:multiLvlStrRef>
              <c:f>Graphiques!$E$27:$J$28</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Graphiques!$E$33:$J$33</c:f>
              <c:numCache>
                <c:formatCode>0.0</c:formatCode>
                <c:ptCount val="6"/>
                <c:pt idx="0">
                  <c:v>204.7007505364771</c:v>
                </c:pt>
                <c:pt idx="1">
                  <c:v>203.91199309401338</c:v>
                </c:pt>
                <c:pt idx="2">
                  <c:v>206.4663433887178</c:v>
                </c:pt>
                <c:pt idx="3">
                  <c:v>196.13266187569576</c:v>
                </c:pt>
                <c:pt idx="4">
                  <c:v>254.2065416010436</c:v>
                </c:pt>
                <c:pt idx="5">
                  <c:v>314.02777586627235</c:v>
                </c:pt>
              </c:numCache>
            </c:numRef>
          </c:val>
          <c:extLst>
            <c:ext xmlns:c16="http://schemas.microsoft.com/office/drawing/2014/chart" uri="{C3380CC4-5D6E-409C-BE32-E72D297353CC}">
              <c16:uniqueId val="{00000004-31EE-4C2A-9EDC-F36D56D71CEE}"/>
            </c:ext>
          </c:extLst>
        </c:ser>
        <c:dLbls>
          <c:showLegendKey val="0"/>
          <c:showVal val="0"/>
          <c:showCatName val="0"/>
          <c:showSerName val="0"/>
          <c:showPercent val="0"/>
          <c:showBubbleSize val="0"/>
        </c:dLbls>
        <c:gapWidth val="150"/>
        <c:shape val="box"/>
        <c:axId val="1872857280"/>
        <c:axId val="1872852704"/>
        <c:axId val="0"/>
      </c:bar3DChart>
      <c:catAx>
        <c:axId val="1872857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2852704"/>
        <c:crosses val="autoZero"/>
        <c:auto val="1"/>
        <c:lblAlgn val="ctr"/>
        <c:lblOffset val="100"/>
        <c:noMultiLvlLbl val="0"/>
      </c:catAx>
      <c:valAx>
        <c:axId val="187285270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2857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Graphiques!$D$52</c:f>
              <c:strCache>
                <c:ptCount val="1"/>
                <c:pt idx="0">
                  <c:v>Bovins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Graphiques!$E$50:$J$51</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Graphiques!$E$52:$J$52</c:f>
              <c:numCache>
                <c:formatCode>0.0</c:formatCode>
                <c:ptCount val="6"/>
                <c:pt idx="0">
                  <c:v>166.70517067433471</c:v>
                </c:pt>
                <c:pt idx="1">
                  <c:v>175.72240773241077</c:v>
                </c:pt>
                <c:pt idx="2">
                  <c:v>168.55921084338851</c:v>
                </c:pt>
                <c:pt idx="3">
                  <c:v>166.2423411101874</c:v>
                </c:pt>
                <c:pt idx="4">
                  <c:v>176.89027928954238</c:v>
                </c:pt>
                <c:pt idx="5">
                  <c:v>183.30953157981878</c:v>
                </c:pt>
              </c:numCache>
            </c:numRef>
          </c:val>
          <c:smooth val="0"/>
          <c:extLst>
            <c:ext xmlns:c16="http://schemas.microsoft.com/office/drawing/2014/chart" uri="{C3380CC4-5D6E-409C-BE32-E72D297353CC}">
              <c16:uniqueId val="{00000000-FB64-47FD-9A2E-885EF324E035}"/>
            </c:ext>
          </c:extLst>
        </c:ser>
        <c:ser>
          <c:idx val="1"/>
          <c:order val="1"/>
          <c:tx>
            <c:strRef>
              <c:f>Graphiques!$D$53</c:f>
              <c:strCache>
                <c:ptCount val="1"/>
                <c:pt idx="0">
                  <c:v>Ovins caprins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Graphiques!$E$50:$J$51</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Graphiques!$E$53:$J$53</c:f>
              <c:numCache>
                <c:formatCode>0.0</c:formatCode>
                <c:ptCount val="6"/>
                <c:pt idx="0">
                  <c:v>156.82427024267736</c:v>
                </c:pt>
                <c:pt idx="1">
                  <c:v>162.47933946123405</c:v>
                </c:pt>
                <c:pt idx="2">
                  <c:v>160.62136930147835</c:v>
                </c:pt>
                <c:pt idx="3">
                  <c:v>167.46926551694287</c:v>
                </c:pt>
                <c:pt idx="4">
                  <c:v>171.69579245412899</c:v>
                </c:pt>
                <c:pt idx="5">
                  <c:v>175.89196252544332</c:v>
                </c:pt>
              </c:numCache>
            </c:numRef>
          </c:val>
          <c:smooth val="0"/>
          <c:extLst>
            <c:ext xmlns:c16="http://schemas.microsoft.com/office/drawing/2014/chart" uri="{C3380CC4-5D6E-409C-BE32-E72D297353CC}">
              <c16:uniqueId val="{00000001-FB64-47FD-9A2E-885EF324E035}"/>
            </c:ext>
          </c:extLst>
        </c:ser>
        <c:ser>
          <c:idx val="2"/>
          <c:order val="2"/>
          <c:tx>
            <c:strRef>
              <c:f>Graphiques!$D$54</c:f>
              <c:strCache>
                <c:ptCount val="1"/>
                <c:pt idx="0">
                  <c:v>Porcins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Graphiques!$E$50:$J$51</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Graphiques!$E$54:$J$54</c:f>
              <c:numCache>
                <c:formatCode>0.0</c:formatCode>
                <c:ptCount val="6"/>
                <c:pt idx="0">
                  <c:v>164.53643333940818</c:v>
                </c:pt>
                <c:pt idx="1">
                  <c:v>177.73511864398927</c:v>
                </c:pt>
                <c:pt idx="2">
                  <c:v>169.28135375429579</c:v>
                </c:pt>
                <c:pt idx="3">
                  <c:v>182.74789693923725</c:v>
                </c:pt>
                <c:pt idx="4">
                  <c:v>187.99415256750427</c:v>
                </c:pt>
                <c:pt idx="5">
                  <c:v>186.57433100816155</c:v>
                </c:pt>
              </c:numCache>
            </c:numRef>
          </c:val>
          <c:smooth val="0"/>
          <c:extLst>
            <c:ext xmlns:c16="http://schemas.microsoft.com/office/drawing/2014/chart" uri="{C3380CC4-5D6E-409C-BE32-E72D297353CC}">
              <c16:uniqueId val="{00000002-FB64-47FD-9A2E-885EF324E035}"/>
            </c:ext>
          </c:extLst>
        </c:ser>
        <c:ser>
          <c:idx val="3"/>
          <c:order val="3"/>
          <c:tx>
            <c:strRef>
              <c:f>Graphiques!$D$55</c:f>
              <c:strCache>
                <c:ptCount val="1"/>
                <c:pt idx="0">
                  <c:v>Autres produits élevages et volailles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multiLvlStrRef>
              <c:f>Graphiques!$E$50:$J$51</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Graphiques!$E$55:$J$55</c:f>
              <c:numCache>
                <c:formatCode>0.0</c:formatCode>
                <c:ptCount val="6"/>
                <c:pt idx="0">
                  <c:v>171.33939078368479</c:v>
                </c:pt>
                <c:pt idx="1">
                  <c:v>174.92018006037222</c:v>
                </c:pt>
                <c:pt idx="2">
                  <c:v>174.48497907504947</c:v>
                </c:pt>
                <c:pt idx="3">
                  <c:v>178.84197410569246</c:v>
                </c:pt>
                <c:pt idx="4">
                  <c:v>179.43578009725294</c:v>
                </c:pt>
                <c:pt idx="5">
                  <c:v>182.76614191410457</c:v>
                </c:pt>
              </c:numCache>
            </c:numRef>
          </c:val>
          <c:smooth val="0"/>
          <c:extLst>
            <c:ext xmlns:c16="http://schemas.microsoft.com/office/drawing/2014/chart" uri="{C3380CC4-5D6E-409C-BE32-E72D297353CC}">
              <c16:uniqueId val="{00000003-FB64-47FD-9A2E-885EF324E035}"/>
            </c:ext>
          </c:extLst>
        </c:ser>
        <c:ser>
          <c:idx val="4"/>
          <c:order val="4"/>
          <c:tx>
            <c:strRef>
              <c:f>Graphiques!$D$56</c:f>
              <c:strCache>
                <c:ptCount val="1"/>
                <c:pt idx="0">
                  <c:v>Sous produits de l'élevage</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multiLvlStrRef>
              <c:f>Graphiques!$E$50:$J$51</c:f>
              <c:multiLvlStrCache>
                <c:ptCount val="6"/>
                <c:lvl>
                  <c:pt idx="0">
                    <c:v>nov-22</c:v>
                  </c:pt>
                  <c:pt idx="1">
                    <c:v>déc-22</c:v>
                  </c:pt>
                  <c:pt idx="2">
                    <c:v>janv-23</c:v>
                  </c:pt>
                  <c:pt idx="3">
                    <c:v>févr-23</c:v>
                  </c:pt>
                  <c:pt idx="4">
                    <c:v>mars-23</c:v>
                  </c:pt>
                  <c:pt idx="5">
                    <c:v>avr-23</c:v>
                  </c:pt>
                </c:lvl>
                <c:lvl>
                  <c:pt idx="0">
                    <c:v>Indices</c:v>
                  </c:pt>
                </c:lvl>
              </c:multiLvlStrCache>
            </c:multiLvlStrRef>
          </c:cat>
          <c:val>
            <c:numRef>
              <c:f>Graphiques!$E$56:$J$56</c:f>
              <c:numCache>
                <c:formatCode>0.0</c:formatCode>
                <c:ptCount val="6"/>
                <c:pt idx="0">
                  <c:v>139.12938301429554</c:v>
                </c:pt>
                <c:pt idx="1">
                  <c:v>141.88011058556816</c:v>
                </c:pt>
                <c:pt idx="2">
                  <c:v>142.72280995803766</c:v>
                </c:pt>
                <c:pt idx="3">
                  <c:v>148.54204699336611</c:v>
                </c:pt>
                <c:pt idx="4">
                  <c:v>152.85638014867908</c:v>
                </c:pt>
                <c:pt idx="5">
                  <c:v>155.92083223796178</c:v>
                </c:pt>
              </c:numCache>
            </c:numRef>
          </c:val>
          <c:smooth val="0"/>
          <c:extLst>
            <c:ext xmlns:c16="http://schemas.microsoft.com/office/drawing/2014/chart" uri="{C3380CC4-5D6E-409C-BE32-E72D297353CC}">
              <c16:uniqueId val="{00000004-FB64-47FD-9A2E-885EF324E035}"/>
            </c:ext>
          </c:extLst>
        </c:ser>
        <c:dLbls>
          <c:showLegendKey val="0"/>
          <c:showVal val="0"/>
          <c:showCatName val="0"/>
          <c:showSerName val="0"/>
          <c:showPercent val="0"/>
          <c:showBubbleSize val="0"/>
        </c:dLbls>
        <c:marker val="1"/>
        <c:smooth val="0"/>
        <c:axId val="1535414768"/>
        <c:axId val="1535408944"/>
      </c:lineChart>
      <c:catAx>
        <c:axId val="1535414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5408944"/>
        <c:crosses val="autoZero"/>
        <c:auto val="1"/>
        <c:lblAlgn val="ctr"/>
        <c:lblOffset val="100"/>
        <c:noMultiLvlLbl val="0"/>
      </c:catAx>
      <c:valAx>
        <c:axId val="15354089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5414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15</Pages>
  <Words>2350</Words>
  <Characters>13395</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2023-05-12T08:00:00Z</dcterms:created>
  <dcterms:modified xsi:type="dcterms:W3CDTF">2023-05-12T10:19:00Z</dcterms:modified>
</cp:coreProperties>
</file>