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ahoma" w:hAnsi="Tahoma" w:cs="Tahoma"/>
          <w:sz w:val="28"/>
          <w:szCs w:val="28"/>
        </w:rPr>
        <w:id w:val="-917476006"/>
        <w:docPartObj>
          <w:docPartGallery w:val="Cover Pages"/>
          <w:docPartUnique/>
        </w:docPartObj>
      </w:sdtPr>
      <w:sdtEndPr>
        <w:rPr>
          <w:rFonts w:ascii="Times New Roman" w:hAnsi="Times New Roman" w:cs="Times New Roman"/>
          <w:b/>
          <w:bCs/>
          <w:sz w:val="24"/>
          <w:szCs w:val="24"/>
        </w:rPr>
      </w:sdtEndPr>
      <w:sdtContent>
        <w:p w:rsidR="00B34192" w:rsidRPr="00C73671" w:rsidRDefault="00B34192" w:rsidP="00B34192">
          <w:pPr>
            <w:tabs>
              <w:tab w:val="left" w:pos="2694"/>
            </w:tabs>
            <w:spacing w:after="0" w:line="240" w:lineRule="auto"/>
            <w:jc w:val="center"/>
            <w:rPr>
              <w:rFonts w:ascii="Times New Roman" w:hAnsi="Times New Roman" w:cs="Times New Roman"/>
              <w:b/>
              <w:caps/>
              <w:noProof/>
              <w:sz w:val="28"/>
              <w:szCs w:val="28"/>
              <w:lang w:val="rw-RW" w:eastAsia="rw-RW"/>
            </w:rPr>
          </w:pPr>
          <w:r w:rsidRPr="00C73671">
            <w:rPr>
              <w:rFonts w:ascii="Times New Roman" w:hAnsi="Times New Roman" w:cs="Times New Roman"/>
              <w:b/>
              <w:caps/>
              <w:noProof/>
              <w:sz w:val="28"/>
              <w:szCs w:val="28"/>
              <w:lang w:val="rw-RW" w:eastAsia="rw-RW"/>
            </w:rPr>
            <w:t xml:space="preserve">Institut NATIONAL DE LA STATISTIQUE </w:t>
          </w:r>
        </w:p>
        <w:p w:rsidR="00B34192" w:rsidRPr="00C73671" w:rsidRDefault="00B34192" w:rsidP="00B34192">
          <w:pPr>
            <w:tabs>
              <w:tab w:val="left" w:pos="2694"/>
            </w:tabs>
            <w:spacing w:after="0" w:line="240" w:lineRule="auto"/>
            <w:jc w:val="center"/>
            <w:rPr>
              <w:rFonts w:ascii="Times New Roman" w:hAnsi="Times New Roman" w:cs="Times New Roman"/>
              <w:b/>
              <w:caps/>
              <w:noProof/>
              <w:sz w:val="28"/>
              <w:szCs w:val="28"/>
              <w:lang w:val="rw-RW" w:eastAsia="rw-RW"/>
            </w:rPr>
          </w:pPr>
          <w:r w:rsidRPr="00C73671">
            <w:rPr>
              <w:rFonts w:ascii="Times New Roman" w:hAnsi="Times New Roman" w:cs="Times New Roman"/>
              <w:b/>
              <w:caps/>
              <w:noProof/>
              <w:sz w:val="28"/>
              <w:szCs w:val="28"/>
              <w:lang w:val="rw-RW" w:eastAsia="rw-RW"/>
            </w:rPr>
            <w:t xml:space="preserve"> du Burundi</w:t>
          </w:r>
        </w:p>
        <w:p w:rsidR="00B34192" w:rsidRPr="00597E27" w:rsidRDefault="00B34192" w:rsidP="00B34192">
          <w:pPr>
            <w:pStyle w:val="En-tte"/>
            <w:rPr>
              <w:rFonts w:ascii="Tahoma" w:hAnsi="Tahoma" w:cs="Tahoma"/>
              <w:b/>
              <w:caps/>
              <w:noProof/>
              <w:sz w:val="24"/>
              <w:szCs w:val="24"/>
              <w:lang w:eastAsia="rw-RW"/>
            </w:rPr>
          </w:pPr>
        </w:p>
        <w:p w:rsidR="00B34192" w:rsidRPr="00597E27" w:rsidRDefault="00B34192" w:rsidP="00B34192">
          <w:pPr>
            <w:pStyle w:val="En-tte"/>
            <w:rPr>
              <w:rFonts w:ascii="Tahoma" w:hAnsi="Tahoma" w:cs="Tahoma"/>
              <w:b/>
              <w:caps/>
              <w:noProof/>
              <w:sz w:val="24"/>
              <w:szCs w:val="24"/>
              <w:lang w:eastAsia="rw-RW"/>
            </w:rPr>
          </w:pPr>
          <w:r>
            <w:rPr>
              <w:rFonts w:ascii="Tahoma" w:hAnsi="Tahoma" w:cs="Tahoma"/>
              <w:b/>
              <w:caps/>
              <w:noProof/>
              <w:sz w:val="24"/>
              <w:szCs w:val="24"/>
              <w:lang w:eastAsia="rw-RW"/>
            </w:rPr>
            <w:tab/>
          </w:r>
          <w:r>
            <w:rPr>
              <w:rFonts w:ascii="Tahoma" w:hAnsi="Tahoma" w:cs="Tahoma"/>
              <w:b/>
              <w:caps/>
              <w:noProof/>
              <w:lang w:val="en-US" w:eastAsia="en-US"/>
            </w:rPr>
            <w:drawing>
              <wp:inline distT="0" distB="0" distL="0" distR="0" wp14:anchorId="7BC074F7" wp14:editId="21541E45">
                <wp:extent cx="1388745" cy="673100"/>
                <wp:effectExtent l="0" t="0" r="1905" b="0"/>
                <wp:docPr id="14" name="Image 14" descr="logo propo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roposé"/>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8745" cy="673100"/>
                        </a:xfrm>
                        <a:prstGeom prst="rect">
                          <a:avLst/>
                        </a:prstGeom>
                        <a:noFill/>
                        <a:ln>
                          <a:noFill/>
                        </a:ln>
                      </pic:spPr>
                    </pic:pic>
                  </a:graphicData>
                </a:graphic>
              </wp:inline>
            </w:drawing>
          </w:r>
          <w:r w:rsidRPr="00597E27">
            <w:rPr>
              <w:rFonts w:ascii="Tahoma" w:hAnsi="Tahoma" w:cs="Tahoma"/>
              <w:b/>
              <w:caps/>
              <w:noProof/>
              <w:sz w:val="24"/>
              <w:szCs w:val="24"/>
              <w:lang w:eastAsia="rw-RW"/>
            </w:rPr>
            <w:br w:type="textWrapping" w:clear="all"/>
          </w:r>
        </w:p>
        <w:p w:rsidR="00B34192" w:rsidRPr="00C73671" w:rsidRDefault="00B34192" w:rsidP="00B34192">
          <w:pPr>
            <w:pStyle w:val="En-tte"/>
            <w:jc w:val="center"/>
            <w:rPr>
              <w:b/>
              <w:bCs/>
              <w:sz w:val="28"/>
              <w:szCs w:val="28"/>
              <w:u w:val="single"/>
            </w:rPr>
          </w:pPr>
          <w:r w:rsidRPr="00C73671">
            <w:rPr>
              <w:b/>
              <w:bCs/>
              <w:sz w:val="28"/>
              <w:szCs w:val="28"/>
              <w:u w:val="single"/>
            </w:rPr>
            <w:t>DIRECTION GENERALE</w:t>
          </w:r>
        </w:p>
        <w:p w:rsidR="00B34192" w:rsidRPr="00C73671" w:rsidRDefault="00B34192" w:rsidP="00B34192">
          <w:pPr>
            <w:spacing w:after="0"/>
            <w:jc w:val="center"/>
            <w:rPr>
              <w:rStyle w:val="lev"/>
              <w:rFonts w:ascii="Times New Roman" w:hAnsi="Times New Roman" w:cs="Times New Roman"/>
              <w:color w:val="8496B0" w:themeColor="text2" w:themeTint="99"/>
              <w:sz w:val="28"/>
              <w:szCs w:val="28"/>
              <w:u w:val="single"/>
              <w:lang w:eastAsia="fr-FR" w:bidi="ar-SA"/>
            </w:rPr>
          </w:pPr>
          <w:r w:rsidRPr="00C73671">
            <w:rPr>
              <w:rStyle w:val="lev"/>
              <w:rFonts w:ascii="Times New Roman" w:hAnsi="Times New Roman" w:cs="Times New Roman"/>
              <w:color w:val="8496B0" w:themeColor="text2" w:themeTint="99"/>
              <w:sz w:val="28"/>
              <w:szCs w:val="28"/>
              <w:u w:val="single"/>
            </w:rPr>
            <w:t>SERVICE « ETUDES ET STATISTIQUES AGRICOLES ET DES PRIX A LA PRODUCTION AGRICOLES »</w:t>
          </w:r>
        </w:p>
        <w:p w:rsidR="00B34192" w:rsidRPr="00597E27" w:rsidRDefault="00B34192" w:rsidP="00B34192">
          <w:pPr>
            <w:pStyle w:val="Sansinterligne"/>
            <w:jc w:val="both"/>
            <w:rPr>
              <w:rFonts w:ascii="Tahoma" w:hAnsi="Tahoma" w:cs="Tahoma"/>
              <w:sz w:val="24"/>
              <w:szCs w:val="24"/>
              <w:lang w:val="fr-FR"/>
            </w:rPr>
          </w:pPr>
          <w:r>
            <w:rPr>
              <w:rFonts w:ascii="Tahoma" w:hAnsi="Tahoma" w:cs="Tahoma"/>
              <w:noProof/>
              <w:sz w:val="24"/>
              <w:szCs w:val="24"/>
              <w:lang w:bidi="ar-SA"/>
            </w:rPr>
            <mc:AlternateContent>
              <mc:Choice Requires="wps">
                <w:drawing>
                  <wp:anchor distT="0" distB="0" distL="114300" distR="114300" simplePos="0" relativeHeight="251659264" behindDoc="0" locked="0" layoutInCell="1" allowOverlap="1" wp14:anchorId="3319FE54" wp14:editId="073EBE60">
                    <wp:simplePos x="0" y="0"/>
                    <wp:positionH relativeFrom="margin">
                      <wp:align>center</wp:align>
                    </wp:positionH>
                    <wp:positionV relativeFrom="paragraph">
                      <wp:posOffset>4445</wp:posOffset>
                    </wp:positionV>
                    <wp:extent cx="5581650" cy="1264285"/>
                    <wp:effectExtent l="0" t="0" r="19050" b="12065"/>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6428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C73671" w:rsidRPr="00C73671" w:rsidRDefault="00C73671" w:rsidP="00B34192">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INDICES DES PRIX A LA PRODUCTION AGRICOLE AU BURUNDI (IPPAB), MOIS DE JANVIER 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319FE54" id="Rectangle à coins arrondis 1" o:spid="_x0000_s1026" style="position:absolute;left:0;text-align:left;margin-left:0;margin-top:.35pt;width:439.5pt;height:99.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" fillcolor="#ffe599 [1303]" strokecolor="#1f4d78 [1604]" strokeweight="1pt">
                    <v:stroke joinstyle="miter"/>
                    <v:path arrowok="t"/>
                    <v:textbox>
                      <w:txbxContent>
                        <w:p w:rsidR="00C73671" w:rsidRPr="00C73671" w:rsidRDefault="00C73671" w:rsidP="00B34192">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INDICES DES PRIX A LA PRODUCTION AGRICOLE AU BURUNDI (IPPAB), MOIS DE JANVIER 2023</w:t>
                          </w:r>
                        </w:p>
                      </w:txbxContent>
                    </v:textbox>
                    <w10:wrap anchorx="margin"/>
                  </v:roundrect>
                </w:pict>
              </mc:Fallback>
            </mc:AlternateContent>
          </w:r>
        </w:p>
        <w:p w:rsidR="00B34192" w:rsidRPr="00597E27" w:rsidRDefault="00B34192" w:rsidP="00B34192">
          <w:pPr>
            <w:pStyle w:val="Sansinterligne"/>
            <w:jc w:val="both"/>
            <w:rPr>
              <w:rFonts w:ascii="Tahoma" w:hAnsi="Tahoma" w:cs="Tahoma"/>
              <w:sz w:val="24"/>
              <w:szCs w:val="24"/>
              <w:lang w:val="fr-FR"/>
            </w:rPr>
          </w:pPr>
        </w:p>
        <w:p w:rsidR="00B34192" w:rsidRPr="00597E27" w:rsidRDefault="00B34192" w:rsidP="00B34192">
          <w:pPr>
            <w:jc w:val="both"/>
            <w:rPr>
              <w:rFonts w:ascii="Tahoma" w:hAnsi="Tahoma" w:cs="Tahoma"/>
              <w:sz w:val="24"/>
              <w:szCs w:val="24"/>
            </w:rPr>
          </w:pPr>
        </w:p>
        <w:p w:rsidR="00B34192" w:rsidRPr="00597E27" w:rsidRDefault="00B34192" w:rsidP="00B34192">
          <w:pPr>
            <w:jc w:val="both"/>
            <w:rPr>
              <w:rFonts w:ascii="Tahoma" w:hAnsi="Tahoma" w:cs="Tahoma"/>
              <w:sz w:val="24"/>
              <w:szCs w:val="24"/>
            </w:rPr>
          </w:pPr>
        </w:p>
        <w:p w:rsidR="00B34192" w:rsidRPr="00597E27" w:rsidRDefault="00B34192" w:rsidP="00B34192">
          <w:pPr>
            <w:jc w:val="both"/>
            <w:rPr>
              <w:rFonts w:ascii="Tahoma" w:hAnsi="Tahoma" w:cs="Tahoma"/>
              <w:b/>
              <w:bCs/>
              <w:sz w:val="24"/>
              <w:szCs w:val="24"/>
            </w:rPr>
          </w:pPr>
        </w:p>
        <w:p w:rsidR="00B34192" w:rsidRPr="00597E27" w:rsidRDefault="00B34192" w:rsidP="00B34192">
          <w:pPr>
            <w:jc w:val="both"/>
            <w:rPr>
              <w:rFonts w:ascii="Tahoma" w:hAnsi="Tahoma" w:cs="Tahoma"/>
              <w:b/>
              <w:bCs/>
              <w:sz w:val="24"/>
              <w:szCs w:val="24"/>
            </w:rPr>
          </w:pPr>
          <w:r w:rsidRPr="00597E27">
            <w:rPr>
              <w:rFonts w:ascii="Tahoma" w:hAnsi="Tahoma" w:cs="Tahoma"/>
              <w:b/>
              <w:bCs/>
              <w:noProof/>
              <w:sz w:val="24"/>
              <w:szCs w:val="24"/>
              <w:lang w:val="en-US" w:bidi="ar-SA"/>
            </w:rPr>
            <w:drawing>
              <wp:anchor distT="0" distB="0" distL="114300" distR="114300" simplePos="0" relativeHeight="251660288" behindDoc="0" locked="0" layoutInCell="1" allowOverlap="1" wp14:anchorId="0D1A24E5" wp14:editId="3F062BA0">
                <wp:simplePos x="0" y="0"/>
                <wp:positionH relativeFrom="column">
                  <wp:align>left</wp:align>
                </wp:positionH>
                <wp:positionV relativeFrom="paragraph">
                  <wp:align>top</wp:align>
                </wp:positionV>
                <wp:extent cx="2542540" cy="1250315"/>
                <wp:effectExtent l="19050" t="0" r="0" b="0"/>
                <wp:wrapSquare wrapText="bothSides"/>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42540" cy="1250315"/>
                        </a:xfrm>
                        <a:prstGeom prst="rect">
                          <a:avLst/>
                        </a:prstGeom>
                        <a:noFill/>
                        <a:ln w="9525">
                          <a:noFill/>
                          <a:miter lim="800000"/>
                          <a:headEnd/>
                          <a:tailEnd/>
                        </a:ln>
                      </pic:spPr>
                    </pic:pic>
                  </a:graphicData>
                </a:graphic>
              </wp:anchor>
            </w:drawing>
          </w:r>
          <w:r w:rsidRPr="00597E27">
            <w:rPr>
              <w:rFonts w:ascii="Tahoma" w:hAnsi="Tahoma" w:cs="Tahoma"/>
              <w:b/>
              <w:bCs/>
              <w:noProof/>
              <w:sz w:val="24"/>
              <w:szCs w:val="24"/>
              <w:lang w:val="en-US" w:bidi="ar-SA"/>
            </w:rPr>
            <w:drawing>
              <wp:inline distT="0" distB="0" distL="0" distR="0" wp14:anchorId="6AC46912" wp14:editId="0BFFD07A">
                <wp:extent cx="3138218" cy="1311215"/>
                <wp:effectExtent l="19050" t="0" r="5032"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144839" cy="1313981"/>
                        </a:xfrm>
                        <a:prstGeom prst="rect">
                          <a:avLst/>
                        </a:prstGeom>
                        <a:noFill/>
                        <a:ln w="9525">
                          <a:noFill/>
                          <a:miter lim="800000"/>
                          <a:headEnd/>
                          <a:tailEnd/>
                        </a:ln>
                      </pic:spPr>
                    </pic:pic>
                  </a:graphicData>
                </a:graphic>
              </wp:inline>
            </w:drawing>
          </w:r>
          <w:r w:rsidRPr="00597E27">
            <w:rPr>
              <w:rFonts w:ascii="Tahoma" w:hAnsi="Tahoma" w:cs="Tahoma"/>
              <w:b/>
              <w:bCs/>
              <w:sz w:val="24"/>
              <w:szCs w:val="24"/>
            </w:rPr>
            <w:br w:type="textWrapping" w:clear="all"/>
          </w:r>
          <w:r w:rsidRPr="00597E27">
            <w:rPr>
              <w:rFonts w:ascii="Tahoma" w:hAnsi="Tahoma" w:cs="Tahoma"/>
              <w:b/>
              <w:bCs/>
              <w:noProof/>
              <w:sz w:val="24"/>
              <w:szCs w:val="24"/>
              <w:lang w:val="en-US" w:bidi="ar-SA"/>
            </w:rPr>
            <w:drawing>
              <wp:inline distT="0" distB="0" distL="0" distR="0" wp14:anchorId="6FED923D" wp14:editId="081017AA">
                <wp:extent cx="1438814" cy="1171064"/>
                <wp:effectExtent l="19050" t="0" r="8986"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444494" cy="1175687"/>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noProof/>
              <w:sz w:val="24"/>
              <w:szCs w:val="24"/>
              <w:lang w:val="en-US" w:bidi="ar-SA"/>
            </w:rPr>
            <w:drawing>
              <wp:inline distT="0" distB="0" distL="0" distR="0" wp14:anchorId="6C687EA4" wp14:editId="7FCF4805">
                <wp:extent cx="2103048" cy="1160495"/>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111072" cy="1164923"/>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noProof/>
              <w:sz w:val="24"/>
              <w:szCs w:val="24"/>
              <w:lang w:val="en-US" w:bidi="ar-SA"/>
            </w:rPr>
            <w:drawing>
              <wp:inline distT="0" distB="0" distL="0" distR="0" wp14:anchorId="4E0ADE21" wp14:editId="11F86AA3">
                <wp:extent cx="1697607" cy="957532"/>
                <wp:effectExtent l="19050" t="0" r="0" b="0"/>
                <wp:docPr id="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flipH="1">
                          <a:off x="0" y="0"/>
                          <a:ext cx="1698571" cy="958076"/>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bookmarkStart w:id="0" w:name="_GoBack"/>
          <w:bookmarkEnd w:id="0"/>
          <w:r w:rsidRPr="00597E27">
            <w:rPr>
              <w:rFonts w:ascii="Tahoma" w:hAnsi="Tahoma" w:cs="Tahoma"/>
              <w:b/>
              <w:bCs/>
              <w:sz w:val="24"/>
              <w:szCs w:val="24"/>
            </w:rPr>
            <w:tab/>
          </w:r>
        </w:p>
        <w:p w:rsidR="00B34192" w:rsidRPr="00C73671" w:rsidRDefault="00B34192" w:rsidP="00B34192">
          <w:pPr>
            <w:jc w:val="both"/>
            <w:rPr>
              <w:rFonts w:ascii="Times New Roman" w:hAnsi="Times New Roman" w:cs="Times New Roman"/>
              <w:b/>
              <w:bCs/>
              <w:sz w:val="24"/>
              <w:szCs w:val="24"/>
            </w:rPr>
          </w:pP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t>Date de publication : le 13 février 2023</w:t>
          </w:r>
        </w:p>
      </w:sdtContent>
    </w:sdt>
    <w:p w:rsidR="00B34192" w:rsidRPr="00C73671" w:rsidRDefault="00B34192" w:rsidP="00B34192">
      <w:pPr>
        <w:autoSpaceDE w:val="0"/>
        <w:autoSpaceDN w:val="0"/>
        <w:adjustRightInd w:val="0"/>
        <w:spacing w:before="0" w:after="0" w:line="240" w:lineRule="auto"/>
        <w:jc w:val="center"/>
        <w:rPr>
          <w:rFonts w:ascii="Times New Roman" w:hAnsi="Times New Roman" w:cs="Times New Roman"/>
          <w:b/>
          <w:bCs/>
          <w:sz w:val="24"/>
          <w:szCs w:val="24"/>
          <w:lang w:bidi="ar-SA"/>
        </w:rPr>
      </w:pPr>
      <w:r w:rsidRPr="00C73671">
        <w:rPr>
          <w:rFonts w:ascii="Times New Roman" w:hAnsi="Times New Roman" w:cs="Times New Roman"/>
          <w:b/>
          <w:bCs/>
          <w:sz w:val="24"/>
          <w:szCs w:val="24"/>
          <w:lang w:bidi="ar-SA"/>
        </w:rPr>
        <w:lastRenderedPageBreak/>
        <w:t>Aux lecteurs</w:t>
      </w:r>
    </w:p>
    <w:p w:rsidR="00B34192" w:rsidRPr="00C73671" w:rsidRDefault="00B34192" w:rsidP="00B34192">
      <w:pPr>
        <w:autoSpaceDE w:val="0"/>
        <w:autoSpaceDN w:val="0"/>
        <w:adjustRightInd w:val="0"/>
        <w:spacing w:before="0" w:after="0" w:line="240" w:lineRule="auto"/>
        <w:jc w:val="center"/>
        <w:rPr>
          <w:rFonts w:ascii="Times New Roman" w:hAnsi="Times New Roman" w:cs="Times New Roman"/>
          <w:b/>
          <w:bCs/>
          <w:sz w:val="24"/>
          <w:szCs w:val="24"/>
          <w:lang w:bidi="ar-SA"/>
        </w:rPr>
      </w:pPr>
    </w:p>
    <w:p w:rsidR="00B34192" w:rsidRPr="00C73671" w:rsidRDefault="00B34192" w:rsidP="00B34192">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L’Institut National de la Statistiques du Burundi (INSBU) met à la disposition des utilisateurs l'Indice des Prix à la Production Agricole (IPPAB base 100 </w:t>
      </w:r>
      <w:r w:rsidR="00B06494">
        <w:rPr>
          <w:rFonts w:ascii="Times New Roman" w:hAnsi="Times New Roman" w:cs="Times New Roman"/>
          <w:sz w:val="24"/>
          <w:szCs w:val="24"/>
          <w:lang w:bidi="ar-SA"/>
        </w:rPr>
        <w:t xml:space="preserve">pour l’année </w:t>
      </w:r>
      <w:r w:rsidRPr="00C73671">
        <w:rPr>
          <w:rFonts w:ascii="Times New Roman" w:hAnsi="Times New Roman" w:cs="Times New Roman"/>
          <w:sz w:val="24"/>
          <w:szCs w:val="24"/>
          <w:lang w:bidi="ar-SA"/>
        </w:rPr>
        <w:t>2018).</w:t>
      </w:r>
    </w:p>
    <w:p w:rsidR="00B34192" w:rsidRPr="00C73671" w:rsidRDefault="00B34192" w:rsidP="00B34192">
      <w:pPr>
        <w:autoSpaceDE w:val="0"/>
        <w:autoSpaceDN w:val="0"/>
        <w:adjustRightInd w:val="0"/>
        <w:spacing w:before="0" w:after="0"/>
        <w:jc w:val="both"/>
        <w:rPr>
          <w:rFonts w:ascii="Times New Roman" w:eastAsia="Times New Roman" w:hAnsi="Times New Roman" w:cs="Times New Roman"/>
          <w:sz w:val="24"/>
          <w:szCs w:val="24"/>
          <w:lang w:val="af-ZA" w:bidi="ar-SA"/>
        </w:rPr>
      </w:pPr>
      <w:r w:rsidRPr="00C73671">
        <w:rPr>
          <w:rFonts w:ascii="Times New Roman" w:hAnsi="Times New Roman" w:cs="Times New Roman"/>
          <w:sz w:val="24"/>
          <w:szCs w:val="24"/>
          <w:lang w:bidi="ar-SA"/>
        </w:rPr>
        <w:t xml:space="preserve">Cet indice composite, basé sur l’observation des prix des </w:t>
      </w:r>
      <w:r w:rsidRPr="00C73671">
        <w:rPr>
          <w:rFonts w:ascii="Times New Roman" w:eastAsia="Times New Roman" w:hAnsi="Times New Roman" w:cs="Times New Roman"/>
          <w:sz w:val="24"/>
          <w:szCs w:val="24"/>
          <w:lang w:val="af-ZA" w:bidi="ar-SA"/>
        </w:rPr>
        <w:t xml:space="preserve">Céréales ; des tubercules et racines ; les légumineuses ; les plantes oléagineuses ; les cultures industrielles ; les légumes frais ; la banane ; les fruits frais, les bovins, les ovins et caprins ; les porcins ; les produits élevages et volailles, les sous produits de l’élevage ; les produits de la sylviculture et de l’exploitation forestière ainsi que les produits de la </w:t>
      </w:r>
      <w:r w:rsidRPr="00C73671">
        <w:rPr>
          <w:rFonts w:ascii="Times New Roman" w:eastAsia="Times New Roman" w:hAnsi="Times New Roman" w:cs="Times New Roman"/>
          <w:sz w:val="24"/>
          <w:szCs w:val="24"/>
          <w:lang w:bidi="ar-SA"/>
        </w:rPr>
        <w:t xml:space="preserve">pêche </w:t>
      </w:r>
      <w:r w:rsidRPr="00C73671">
        <w:rPr>
          <w:rFonts w:ascii="Times New Roman" w:eastAsia="Times New Roman" w:hAnsi="Times New Roman" w:cs="Times New Roman"/>
          <w:sz w:val="24"/>
          <w:szCs w:val="24"/>
          <w:lang w:val="af-ZA" w:bidi="ar-SA"/>
        </w:rPr>
        <w:t>(coutumière et artisanale).</w:t>
      </w: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La méthodologie utilisée est du type input avec une formule de </w:t>
      </w:r>
      <w:proofErr w:type="spellStart"/>
      <w:r w:rsidRPr="00C73671">
        <w:rPr>
          <w:rFonts w:ascii="Times New Roman" w:hAnsi="Times New Roman" w:cs="Times New Roman"/>
          <w:sz w:val="24"/>
          <w:szCs w:val="24"/>
          <w:lang w:bidi="ar-SA"/>
        </w:rPr>
        <w:t>Laspeyres</w:t>
      </w:r>
      <w:proofErr w:type="spellEnd"/>
      <w:r w:rsidRPr="00C73671">
        <w:rPr>
          <w:rFonts w:ascii="Times New Roman" w:hAnsi="Times New Roman" w:cs="Times New Roman"/>
          <w:sz w:val="24"/>
          <w:szCs w:val="24"/>
          <w:lang w:bidi="ar-SA"/>
        </w:rPr>
        <w:t>. Le champ couvert par l’indice est le territoire national sauf la Mairie de Bujumbura.</w:t>
      </w:r>
    </w:p>
    <w:p w:rsidR="00B34192" w:rsidRPr="00C73671" w:rsidRDefault="00B34192" w:rsidP="00B34192">
      <w:pPr>
        <w:jc w:val="both"/>
        <w:rPr>
          <w:rFonts w:ascii="Times New Roman" w:hAnsi="Times New Roman" w:cs="Times New Roman"/>
          <w:sz w:val="24"/>
          <w:szCs w:val="24"/>
        </w:rPr>
      </w:pPr>
      <w:r w:rsidRPr="00C73671">
        <w:rPr>
          <w:rFonts w:ascii="Times New Roman" w:hAnsi="Times New Roman" w:cs="Times New Roman"/>
          <w:sz w:val="24"/>
          <w:szCs w:val="24"/>
        </w:rPr>
        <w:t>Les coefficients de pondération sont calculés à l’aide des structures des comptes nationaux de 2014.</w:t>
      </w:r>
    </w:p>
    <w:p w:rsidR="00B34192" w:rsidRPr="00C73671" w:rsidRDefault="00B34192" w:rsidP="00B34192">
      <w:pPr>
        <w:jc w:val="both"/>
        <w:rPr>
          <w:rFonts w:ascii="Times New Roman" w:hAnsi="Times New Roman" w:cs="Times New Roman"/>
          <w:b/>
          <w:sz w:val="24"/>
          <w:szCs w:val="24"/>
        </w:rPr>
      </w:pPr>
      <w:r w:rsidRPr="00C73671">
        <w:rPr>
          <w:rFonts w:ascii="Times New Roman" w:hAnsi="Times New Roman" w:cs="Times New Roman"/>
          <w:b/>
          <w:bCs/>
          <w:sz w:val="24"/>
          <w:szCs w:val="24"/>
          <w:lang w:bidi="ar-SA"/>
        </w:rPr>
        <w:t>Evolution des prix des produits agricoles au mois de janvier 2023</w:t>
      </w: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Dans l’ensemble les prix des produits enregistrent une </w:t>
      </w:r>
      <w:r w:rsidR="0054564C">
        <w:rPr>
          <w:rFonts w:ascii="Times New Roman" w:hAnsi="Times New Roman" w:cs="Times New Roman"/>
          <w:sz w:val="24"/>
          <w:szCs w:val="24"/>
          <w:lang w:bidi="ar-SA"/>
        </w:rPr>
        <w:t>variation en augmentation de 1,4</w:t>
      </w:r>
      <w:r w:rsidRPr="00C73671">
        <w:rPr>
          <w:rFonts w:ascii="Times New Roman" w:hAnsi="Times New Roman" w:cs="Times New Roman"/>
          <w:sz w:val="24"/>
          <w:szCs w:val="24"/>
          <w:lang w:bidi="ar-SA"/>
        </w:rPr>
        <w:t>% pour le mois de</w:t>
      </w:r>
      <w:r w:rsidR="0054564C">
        <w:rPr>
          <w:rFonts w:ascii="Times New Roman" w:hAnsi="Times New Roman" w:cs="Times New Roman"/>
          <w:sz w:val="24"/>
          <w:szCs w:val="24"/>
          <w:lang w:bidi="ar-SA"/>
        </w:rPr>
        <w:t xml:space="preserve"> janvier 2023 contre une </w:t>
      </w:r>
      <w:r w:rsidRPr="00C73671">
        <w:rPr>
          <w:rFonts w:ascii="Times New Roman" w:hAnsi="Times New Roman" w:cs="Times New Roman"/>
          <w:sz w:val="24"/>
          <w:szCs w:val="24"/>
          <w:lang w:bidi="ar-SA"/>
        </w:rPr>
        <w:t xml:space="preserve"> v</w:t>
      </w:r>
      <w:r w:rsidR="0054564C">
        <w:rPr>
          <w:rFonts w:ascii="Times New Roman" w:hAnsi="Times New Roman" w:cs="Times New Roman"/>
          <w:sz w:val="24"/>
          <w:szCs w:val="24"/>
          <w:lang w:bidi="ar-SA"/>
        </w:rPr>
        <w:t>ariation en augmentation de 5,8% pour le mois de décembre</w:t>
      </w:r>
      <w:r w:rsidRPr="00C73671">
        <w:rPr>
          <w:rFonts w:ascii="Times New Roman" w:hAnsi="Times New Roman" w:cs="Times New Roman"/>
          <w:sz w:val="24"/>
          <w:szCs w:val="24"/>
          <w:lang w:bidi="ar-SA"/>
        </w:rPr>
        <w:t xml:space="preserve"> 2022.</w:t>
      </w: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Pour les cé</w:t>
      </w:r>
      <w:r w:rsidR="0054564C">
        <w:rPr>
          <w:rFonts w:ascii="Times New Roman" w:hAnsi="Times New Roman" w:cs="Times New Roman"/>
          <w:sz w:val="24"/>
          <w:szCs w:val="24"/>
          <w:lang w:bidi="ar-SA"/>
        </w:rPr>
        <w:t>réales, on observe une diminution de 1,7%. Le produit qui a  influé cette diminution est</w:t>
      </w:r>
      <w:r w:rsidRPr="00C73671">
        <w:rPr>
          <w:rFonts w:ascii="Times New Roman" w:hAnsi="Times New Roman" w:cs="Times New Roman"/>
          <w:sz w:val="24"/>
          <w:szCs w:val="24"/>
          <w:lang w:bidi="ar-SA"/>
        </w:rPr>
        <w:t xml:space="preserve"> le ma</w:t>
      </w:r>
      <w:r w:rsidR="0054564C">
        <w:rPr>
          <w:rFonts w:ascii="Times New Roman" w:hAnsi="Times New Roman" w:cs="Times New Roman"/>
          <w:sz w:val="24"/>
          <w:szCs w:val="24"/>
          <w:lang w:bidi="ar-SA"/>
        </w:rPr>
        <w:t>ïs (-4,8</w:t>
      </w:r>
      <w:r w:rsidRPr="00C73671">
        <w:rPr>
          <w:rFonts w:ascii="Times New Roman" w:hAnsi="Times New Roman" w:cs="Times New Roman"/>
          <w:sz w:val="24"/>
          <w:szCs w:val="24"/>
          <w:lang w:bidi="ar-SA"/>
        </w:rPr>
        <w:t>%).</w:t>
      </w: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Les tubercules et les racines man</w:t>
      </w:r>
      <w:r w:rsidR="00A71CB6">
        <w:rPr>
          <w:rFonts w:ascii="Times New Roman" w:hAnsi="Times New Roman" w:cs="Times New Roman"/>
          <w:sz w:val="24"/>
          <w:szCs w:val="24"/>
          <w:lang w:bidi="ar-SA"/>
        </w:rPr>
        <w:t>ifestent une augmentation de 1,2</w:t>
      </w:r>
      <w:r w:rsidRPr="00C73671">
        <w:rPr>
          <w:rFonts w:ascii="Times New Roman" w:hAnsi="Times New Roman" w:cs="Times New Roman"/>
          <w:sz w:val="24"/>
          <w:szCs w:val="24"/>
          <w:lang w:bidi="ar-SA"/>
        </w:rPr>
        <w:t xml:space="preserve"> % au mois de </w:t>
      </w:r>
      <w:r w:rsidR="00A71CB6">
        <w:rPr>
          <w:rFonts w:ascii="Times New Roman" w:hAnsi="Times New Roman" w:cs="Times New Roman"/>
          <w:sz w:val="24"/>
          <w:szCs w:val="24"/>
          <w:lang w:bidi="ar-SA"/>
        </w:rPr>
        <w:t>janvier 2023</w:t>
      </w:r>
      <w:r w:rsidRPr="00C73671">
        <w:rPr>
          <w:rFonts w:ascii="Times New Roman" w:hAnsi="Times New Roman" w:cs="Times New Roman"/>
          <w:sz w:val="24"/>
          <w:szCs w:val="24"/>
          <w:lang w:bidi="ar-SA"/>
        </w:rPr>
        <w:t xml:space="preserve"> contre </w:t>
      </w:r>
      <w:r w:rsidR="00A71CB6" w:rsidRPr="00C73671">
        <w:rPr>
          <w:rFonts w:ascii="Times New Roman" w:hAnsi="Times New Roman" w:cs="Times New Roman"/>
          <w:sz w:val="24"/>
          <w:szCs w:val="24"/>
          <w:lang w:bidi="ar-SA"/>
        </w:rPr>
        <w:t xml:space="preserve">une augmentation de 8,8 % </w:t>
      </w:r>
      <w:r w:rsidRPr="00C73671">
        <w:rPr>
          <w:rFonts w:ascii="Times New Roman" w:hAnsi="Times New Roman" w:cs="Times New Roman"/>
          <w:sz w:val="24"/>
          <w:szCs w:val="24"/>
          <w:lang w:bidi="ar-SA"/>
        </w:rPr>
        <w:t xml:space="preserve"> au mois de </w:t>
      </w:r>
      <w:r w:rsidR="00A71CB6" w:rsidRPr="00C73671">
        <w:rPr>
          <w:rFonts w:ascii="Times New Roman" w:hAnsi="Times New Roman" w:cs="Times New Roman"/>
          <w:sz w:val="24"/>
          <w:szCs w:val="24"/>
          <w:lang w:bidi="ar-SA"/>
        </w:rPr>
        <w:t>décembre</w:t>
      </w:r>
      <w:r w:rsidRPr="00C73671">
        <w:rPr>
          <w:rFonts w:ascii="Times New Roman" w:hAnsi="Times New Roman" w:cs="Times New Roman"/>
          <w:sz w:val="24"/>
          <w:szCs w:val="24"/>
          <w:lang w:bidi="ar-SA"/>
        </w:rPr>
        <w:t xml:space="preserve"> 2022.</w:t>
      </w: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La classe des légum</w:t>
      </w:r>
      <w:r w:rsidR="00A71CB6">
        <w:rPr>
          <w:rFonts w:ascii="Times New Roman" w:hAnsi="Times New Roman" w:cs="Times New Roman"/>
          <w:sz w:val="24"/>
          <w:szCs w:val="24"/>
          <w:lang w:bidi="ar-SA"/>
        </w:rPr>
        <w:t>ineuses a subi une hausse de 11,2% pour ce mois de janvier 2023</w:t>
      </w:r>
      <w:r w:rsidRPr="00C73671">
        <w:rPr>
          <w:rFonts w:ascii="Times New Roman" w:hAnsi="Times New Roman" w:cs="Times New Roman"/>
          <w:sz w:val="24"/>
          <w:szCs w:val="24"/>
          <w:lang w:bidi="ar-SA"/>
        </w:rPr>
        <w:t xml:space="preserve"> par rapport au m</w:t>
      </w:r>
      <w:r w:rsidR="00A71CB6">
        <w:rPr>
          <w:rFonts w:ascii="Times New Roman" w:hAnsi="Times New Roman" w:cs="Times New Roman"/>
          <w:sz w:val="24"/>
          <w:szCs w:val="24"/>
          <w:lang w:bidi="ar-SA"/>
        </w:rPr>
        <w:t>ois de décembre 2022 (7,0</w:t>
      </w:r>
      <w:r w:rsidRPr="00C73671">
        <w:rPr>
          <w:rFonts w:ascii="Times New Roman" w:hAnsi="Times New Roman" w:cs="Times New Roman"/>
          <w:sz w:val="24"/>
          <w:szCs w:val="24"/>
          <w:lang w:bidi="ar-SA"/>
        </w:rPr>
        <w:t xml:space="preserve">%). </w:t>
      </w: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 Les </w:t>
      </w:r>
      <w:r w:rsidRPr="00C73671">
        <w:rPr>
          <w:rFonts w:ascii="Times New Roman" w:eastAsia="Times New Roman" w:hAnsi="Times New Roman" w:cs="Times New Roman"/>
          <w:color w:val="000000"/>
          <w:sz w:val="24"/>
          <w:szCs w:val="24"/>
          <w:lang w:val="af-ZA" w:bidi="ar-SA"/>
        </w:rPr>
        <w:t xml:space="preserve">produits de la </w:t>
      </w:r>
      <w:r w:rsidRPr="00C73671">
        <w:rPr>
          <w:rFonts w:ascii="Times New Roman" w:eastAsia="Times New Roman" w:hAnsi="Times New Roman" w:cs="Times New Roman"/>
          <w:color w:val="000000"/>
          <w:sz w:val="24"/>
          <w:szCs w:val="24"/>
          <w:lang w:bidi="ar-SA"/>
        </w:rPr>
        <w:t>pêche</w:t>
      </w:r>
      <w:r w:rsidRPr="00C73671">
        <w:rPr>
          <w:rFonts w:ascii="Times New Roman" w:eastAsia="Times New Roman" w:hAnsi="Times New Roman" w:cs="Times New Roman"/>
          <w:color w:val="000000"/>
          <w:sz w:val="24"/>
          <w:szCs w:val="24"/>
          <w:lang w:val="af-ZA" w:bidi="ar-SA"/>
        </w:rPr>
        <w:t xml:space="preserve"> (coutumière et artisanale)</w:t>
      </w:r>
      <w:r w:rsidRPr="00C73671">
        <w:rPr>
          <w:rFonts w:ascii="Times New Roman" w:hAnsi="Times New Roman" w:cs="Times New Roman"/>
          <w:sz w:val="24"/>
          <w:szCs w:val="24"/>
          <w:lang w:bidi="ar-SA"/>
        </w:rPr>
        <w:t xml:space="preserve"> enregistrent une variation en </w:t>
      </w:r>
      <w:r w:rsidR="00A71CB6">
        <w:rPr>
          <w:rFonts w:ascii="Times New Roman" w:hAnsi="Times New Roman" w:cs="Times New Roman"/>
          <w:sz w:val="24"/>
          <w:szCs w:val="24"/>
          <w:lang w:bidi="ar-SA"/>
        </w:rPr>
        <w:t>augmentation de 1,3</w:t>
      </w:r>
      <w:r w:rsidRPr="00C73671">
        <w:rPr>
          <w:rFonts w:ascii="Times New Roman" w:hAnsi="Times New Roman" w:cs="Times New Roman"/>
          <w:sz w:val="24"/>
          <w:szCs w:val="24"/>
          <w:lang w:bidi="ar-SA"/>
        </w:rPr>
        <w:t>% pour ce m</w:t>
      </w:r>
      <w:r w:rsidR="00A71CB6">
        <w:rPr>
          <w:rFonts w:ascii="Times New Roman" w:hAnsi="Times New Roman" w:cs="Times New Roman"/>
          <w:sz w:val="24"/>
          <w:szCs w:val="24"/>
          <w:lang w:bidi="ar-SA"/>
        </w:rPr>
        <w:t>ois contre une diminution de 0,4</w:t>
      </w:r>
      <w:r w:rsidRPr="00C73671">
        <w:rPr>
          <w:rFonts w:ascii="Times New Roman" w:hAnsi="Times New Roman" w:cs="Times New Roman"/>
          <w:sz w:val="24"/>
          <w:szCs w:val="24"/>
          <w:lang w:bidi="ar-SA"/>
        </w:rPr>
        <w:t xml:space="preserve"> % au mois précédent. </w:t>
      </w: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p>
    <w:p w:rsidR="00B34192" w:rsidRPr="00C73671" w:rsidRDefault="00B34192" w:rsidP="00B34192">
      <w:pPr>
        <w:jc w:val="both"/>
        <w:rPr>
          <w:rFonts w:ascii="Times New Roman" w:hAnsi="Times New Roman" w:cs="Times New Roman"/>
          <w:b/>
          <w:bCs/>
          <w:sz w:val="24"/>
          <w:szCs w:val="24"/>
          <w:lang w:bidi="ar-SA"/>
        </w:rPr>
      </w:pPr>
    </w:p>
    <w:p w:rsidR="00B34192" w:rsidRDefault="00B34192" w:rsidP="00B34192">
      <w:pPr>
        <w:jc w:val="both"/>
        <w:rPr>
          <w:rFonts w:ascii="Times New Roman" w:hAnsi="Times New Roman" w:cs="Times New Roman"/>
          <w:b/>
          <w:bCs/>
          <w:sz w:val="24"/>
          <w:szCs w:val="24"/>
          <w:lang w:bidi="ar-SA"/>
        </w:rPr>
      </w:pPr>
    </w:p>
    <w:p w:rsidR="00A71CB6" w:rsidRDefault="00A71CB6" w:rsidP="00B34192">
      <w:pPr>
        <w:jc w:val="both"/>
        <w:rPr>
          <w:rFonts w:ascii="Times New Roman" w:hAnsi="Times New Roman" w:cs="Times New Roman"/>
          <w:b/>
          <w:bCs/>
          <w:sz w:val="24"/>
          <w:szCs w:val="24"/>
          <w:lang w:bidi="ar-SA"/>
        </w:rPr>
      </w:pPr>
    </w:p>
    <w:p w:rsidR="00A71CB6" w:rsidRPr="00C73671" w:rsidRDefault="00A71CB6" w:rsidP="00B34192">
      <w:pPr>
        <w:jc w:val="both"/>
        <w:rPr>
          <w:rFonts w:ascii="Times New Roman" w:hAnsi="Times New Roman" w:cs="Times New Roman"/>
          <w:b/>
          <w:bCs/>
          <w:sz w:val="24"/>
          <w:szCs w:val="24"/>
          <w:lang w:bidi="ar-SA"/>
        </w:rPr>
      </w:pPr>
    </w:p>
    <w:p w:rsidR="00B34192" w:rsidRPr="00C73671" w:rsidRDefault="00B34192" w:rsidP="00B34192">
      <w:pPr>
        <w:jc w:val="both"/>
        <w:rPr>
          <w:rFonts w:ascii="Times New Roman" w:hAnsi="Times New Roman" w:cs="Times New Roman"/>
          <w:b/>
          <w:sz w:val="24"/>
          <w:szCs w:val="24"/>
        </w:rPr>
      </w:pPr>
      <w:r w:rsidRPr="00C73671">
        <w:rPr>
          <w:rFonts w:ascii="Times New Roman" w:hAnsi="Times New Roman" w:cs="Times New Roman"/>
          <w:b/>
          <w:bCs/>
          <w:sz w:val="24"/>
          <w:szCs w:val="24"/>
          <w:lang w:bidi="ar-SA"/>
        </w:rPr>
        <w:lastRenderedPageBreak/>
        <w:t>Evolution trimestrielle des prix des produits agricoles</w:t>
      </w:r>
    </w:p>
    <w:p w:rsidR="00B34192" w:rsidRPr="00C73671" w:rsidRDefault="00B34192" w:rsidP="00B34192">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Au cours du trim</w:t>
      </w:r>
      <w:r w:rsidR="00A8120A">
        <w:rPr>
          <w:rFonts w:ascii="Times New Roman" w:hAnsi="Times New Roman" w:cs="Times New Roman"/>
          <w:sz w:val="24"/>
          <w:szCs w:val="24"/>
          <w:lang w:bidi="ar-SA"/>
        </w:rPr>
        <w:t>estre ayant pris fin en janvier 2023</w:t>
      </w:r>
      <w:r w:rsidRPr="00C73671">
        <w:rPr>
          <w:rFonts w:ascii="Times New Roman" w:hAnsi="Times New Roman" w:cs="Times New Roman"/>
          <w:sz w:val="24"/>
          <w:szCs w:val="24"/>
          <w:lang w:bidi="ar-SA"/>
        </w:rPr>
        <w:t>, les prix des produit</w:t>
      </w:r>
      <w:r w:rsidR="00A8120A">
        <w:rPr>
          <w:rFonts w:ascii="Times New Roman" w:hAnsi="Times New Roman" w:cs="Times New Roman"/>
          <w:sz w:val="24"/>
          <w:szCs w:val="24"/>
          <w:lang w:bidi="ar-SA"/>
        </w:rPr>
        <w:t>s enregistrent une hausse de 9,1</w:t>
      </w:r>
      <w:r w:rsidRPr="00C73671">
        <w:rPr>
          <w:rFonts w:ascii="Times New Roman" w:hAnsi="Times New Roman" w:cs="Times New Roman"/>
          <w:sz w:val="24"/>
          <w:szCs w:val="24"/>
          <w:lang w:bidi="ar-SA"/>
        </w:rPr>
        <w:t xml:space="preserve"> % par rapport au trimestre précédent.</w:t>
      </w:r>
    </w:p>
    <w:p w:rsidR="00B34192" w:rsidRPr="00C73671" w:rsidRDefault="00A8120A" w:rsidP="00B34192">
      <w:pPr>
        <w:autoSpaceDE w:val="0"/>
        <w:autoSpaceDN w:val="0"/>
        <w:adjustRightInd w:val="0"/>
        <w:spacing w:before="0" w:after="0"/>
        <w:jc w:val="both"/>
        <w:rPr>
          <w:rFonts w:ascii="Times New Roman" w:hAnsi="Times New Roman" w:cs="Times New Roman"/>
          <w:sz w:val="24"/>
          <w:szCs w:val="24"/>
          <w:lang w:bidi="ar-SA"/>
        </w:rPr>
      </w:pPr>
      <w:r>
        <w:rPr>
          <w:rFonts w:ascii="Times New Roman" w:hAnsi="Times New Roman" w:cs="Times New Roman"/>
          <w:sz w:val="24"/>
          <w:szCs w:val="24"/>
          <w:lang w:bidi="ar-SA"/>
        </w:rPr>
        <w:t>Deux</w:t>
      </w:r>
      <w:r w:rsidR="00B34192" w:rsidRPr="00C73671">
        <w:rPr>
          <w:rFonts w:ascii="Times New Roman" w:hAnsi="Times New Roman" w:cs="Times New Roman"/>
          <w:sz w:val="24"/>
          <w:szCs w:val="24"/>
          <w:lang w:bidi="ar-SA"/>
        </w:rPr>
        <w:t xml:space="preserve"> classes ont manifesté des va</w:t>
      </w:r>
      <w:r>
        <w:rPr>
          <w:rFonts w:ascii="Times New Roman" w:hAnsi="Times New Roman" w:cs="Times New Roman"/>
          <w:sz w:val="24"/>
          <w:szCs w:val="24"/>
          <w:lang w:bidi="ar-SA"/>
        </w:rPr>
        <w:t>riations en diminution</w:t>
      </w:r>
      <w:r w:rsidR="00B34192" w:rsidRPr="00C73671">
        <w:rPr>
          <w:rFonts w:ascii="Times New Roman" w:hAnsi="Times New Roman" w:cs="Times New Roman"/>
          <w:sz w:val="24"/>
          <w:szCs w:val="24"/>
          <w:lang w:bidi="ar-SA"/>
        </w:rPr>
        <w:t xml:space="preserve"> </w:t>
      </w:r>
      <w:r>
        <w:rPr>
          <w:rFonts w:ascii="Times New Roman" w:hAnsi="Times New Roman" w:cs="Times New Roman"/>
          <w:sz w:val="24"/>
          <w:szCs w:val="24"/>
          <w:lang w:bidi="ar-SA"/>
        </w:rPr>
        <w:t xml:space="preserve">: les produits de la pêche (-18,7 %) et </w:t>
      </w:r>
      <w:r w:rsidR="00B34192" w:rsidRPr="00C73671">
        <w:rPr>
          <w:rFonts w:ascii="Times New Roman" w:hAnsi="Times New Roman" w:cs="Times New Roman"/>
          <w:sz w:val="24"/>
          <w:szCs w:val="24"/>
          <w:lang w:bidi="ar-SA"/>
        </w:rPr>
        <w:t>les légume</w:t>
      </w:r>
      <w:r>
        <w:rPr>
          <w:rFonts w:ascii="Times New Roman" w:hAnsi="Times New Roman" w:cs="Times New Roman"/>
          <w:sz w:val="24"/>
          <w:szCs w:val="24"/>
          <w:lang w:bidi="ar-SA"/>
        </w:rPr>
        <w:t>s frais (-8,5%)</w:t>
      </w:r>
      <w:r w:rsidR="00B34192" w:rsidRPr="00C73671">
        <w:rPr>
          <w:rFonts w:ascii="Times New Roman" w:hAnsi="Times New Roman" w:cs="Times New Roman"/>
          <w:sz w:val="24"/>
          <w:szCs w:val="24"/>
          <w:lang w:bidi="ar-SA"/>
        </w:rPr>
        <w:t>.  les autres classes de produits ont subi des variations en augmentation (voir les tableaux en annexe).</w:t>
      </w:r>
    </w:p>
    <w:p w:rsidR="00B34192" w:rsidRPr="00C73671" w:rsidRDefault="00B34192" w:rsidP="00B34192">
      <w:pPr>
        <w:autoSpaceDE w:val="0"/>
        <w:autoSpaceDN w:val="0"/>
        <w:adjustRightInd w:val="0"/>
        <w:spacing w:before="0" w:after="0" w:line="240" w:lineRule="auto"/>
        <w:jc w:val="both"/>
        <w:rPr>
          <w:rFonts w:ascii="Times New Roman" w:hAnsi="Times New Roman" w:cs="Times New Roman"/>
          <w:sz w:val="24"/>
          <w:szCs w:val="24"/>
          <w:lang w:bidi="ar-SA"/>
        </w:rPr>
      </w:pPr>
    </w:p>
    <w:p w:rsidR="00B34192" w:rsidRPr="00C73671" w:rsidRDefault="00B34192" w:rsidP="00B34192">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r w:rsidRPr="00C73671">
        <w:rPr>
          <w:rFonts w:ascii="Times New Roman" w:hAnsi="Times New Roman" w:cs="Times New Roman"/>
          <w:b/>
          <w:bCs/>
          <w:sz w:val="24"/>
          <w:szCs w:val="24"/>
          <w:lang w:bidi="ar-SA"/>
        </w:rPr>
        <w:t>Evolution annuelle des prix des produits agricoles</w:t>
      </w:r>
    </w:p>
    <w:p w:rsidR="00B34192" w:rsidRPr="00C73671" w:rsidRDefault="00B34192" w:rsidP="00B34192">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B34192" w:rsidRPr="00C73671" w:rsidRDefault="00B34192" w:rsidP="00B34192">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En glissement annuel, l’évolution des</w:t>
      </w:r>
      <w:r w:rsidRPr="00C73671">
        <w:rPr>
          <w:rFonts w:ascii="Times New Roman" w:hAnsi="Times New Roman" w:cs="Times New Roman"/>
          <w:bCs/>
          <w:sz w:val="24"/>
          <w:szCs w:val="24"/>
          <w:lang w:bidi="ar-SA"/>
        </w:rPr>
        <w:t xml:space="preserve"> prix des produits agricoles</w:t>
      </w:r>
      <w:r w:rsidRPr="00C73671">
        <w:rPr>
          <w:rFonts w:ascii="Times New Roman" w:hAnsi="Times New Roman" w:cs="Times New Roman"/>
          <w:sz w:val="24"/>
          <w:szCs w:val="24"/>
          <w:lang w:bidi="ar-SA"/>
        </w:rPr>
        <w:t xml:space="preserve"> observe une augmentati</w:t>
      </w:r>
      <w:r w:rsidR="00A8120A">
        <w:rPr>
          <w:rFonts w:ascii="Times New Roman" w:hAnsi="Times New Roman" w:cs="Times New Roman"/>
          <w:sz w:val="24"/>
          <w:szCs w:val="24"/>
          <w:lang w:bidi="ar-SA"/>
        </w:rPr>
        <w:t>on de 25,8 % le mois de janvier 2023 contre une augmentation de 23,3</w:t>
      </w:r>
      <w:r w:rsidRPr="00C73671">
        <w:rPr>
          <w:rFonts w:ascii="Times New Roman" w:hAnsi="Times New Roman" w:cs="Times New Roman"/>
          <w:sz w:val="24"/>
          <w:szCs w:val="24"/>
          <w:lang w:bidi="ar-SA"/>
        </w:rPr>
        <w:t>% au mois précédent.</w:t>
      </w:r>
    </w:p>
    <w:p w:rsidR="00B34192" w:rsidRPr="00C73671" w:rsidRDefault="00B34192" w:rsidP="00B34192">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Les céréales enregistrent une hausse de </w:t>
      </w:r>
      <w:r w:rsidR="005270B1">
        <w:rPr>
          <w:rFonts w:ascii="Times New Roman" w:eastAsia="Times New Roman" w:hAnsi="Times New Roman" w:cs="Times New Roman"/>
          <w:sz w:val="24"/>
          <w:szCs w:val="24"/>
          <w:lang w:bidi="ar-SA"/>
        </w:rPr>
        <w:t>71,4</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 contr</w:t>
      </w:r>
      <w:r w:rsidR="00A8120A">
        <w:rPr>
          <w:rFonts w:ascii="Times New Roman" w:hAnsi="Times New Roman" w:cs="Times New Roman"/>
          <w:sz w:val="24"/>
          <w:szCs w:val="24"/>
          <w:lang w:bidi="ar-SA"/>
        </w:rPr>
        <w:t>e une hausse de 76,3</w:t>
      </w:r>
      <w:r w:rsidRPr="00C73671">
        <w:rPr>
          <w:rFonts w:ascii="Times New Roman" w:hAnsi="Times New Roman" w:cs="Times New Roman"/>
          <w:sz w:val="24"/>
          <w:szCs w:val="24"/>
          <w:lang w:bidi="ar-SA"/>
        </w:rPr>
        <w:t>% par rapport au mois précédent.</w:t>
      </w:r>
    </w:p>
    <w:p w:rsidR="00B34192" w:rsidRPr="00C73671" w:rsidRDefault="00B34192" w:rsidP="00B34192">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Les tubercules et les racines ont connu une augmentation de </w:t>
      </w:r>
      <w:r w:rsidR="005270B1">
        <w:rPr>
          <w:rFonts w:ascii="Times New Roman" w:eastAsia="Times New Roman" w:hAnsi="Times New Roman" w:cs="Times New Roman"/>
          <w:sz w:val="24"/>
          <w:szCs w:val="24"/>
          <w:lang w:bidi="ar-SA"/>
        </w:rPr>
        <w:t>21,9</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w:t>
      </w:r>
      <w:r w:rsidR="00A8120A">
        <w:rPr>
          <w:rFonts w:ascii="Times New Roman" w:hAnsi="Times New Roman" w:cs="Times New Roman"/>
          <w:sz w:val="24"/>
          <w:szCs w:val="24"/>
          <w:lang w:bidi="ar-SA"/>
        </w:rPr>
        <w:t xml:space="preserve"> contre une augmentation de 19,9</w:t>
      </w:r>
      <w:r w:rsidRPr="00C73671">
        <w:rPr>
          <w:rFonts w:ascii="Times New Roman" w:hAnsi="Times New Roman" w:cs="Times New Roman"/>
          <w:sz w:val="24"/>
          <w:szCs w:val="24"/>
          <w:lang w:bidi="ar-SA"/>
        </w:rPr>
        <w:t>% par rapport au mois précédent.</w:t>
      </w:r>
    </w:p>
    <w:p w:rsidR="00B34192" w:rsidRPr="00C73671" w:rsidRDefault="00B34192" w:rsidP="00B34192">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La classe des légumineuses a connu une hausse de </w:t>
      </w:r>
      <w:r w:rsidR="005270B1">
        <w:rPr>
          <w:rFonts w:ascii="Times New Roman" w:eastAsia="Times New Roman" w:hAnsi="Times New Roman" w:cs="Times New Roman"/>
          <w:sz w:val="24"/>
          <w:szCs w:val="24"/>
          <w:lang w:bidi="ar-SA"/>
        </w:rPr>
        <w:t>77,6</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 contre une h</w:t>
      </w:r>
      <w:r w:rsidR="005270B1">
        <w:rPr>
          <w:rFonts w:ascii="Times New Roman" w:hAnsi="Times New Roman" w:cs="Times New Roman"/>
          <w:sz w:val="24"/>
          <w:szCs w:val="24"/>
          <w:lang w:bidi="ar-SA"/>
        </w:rPr>
        <w:t>ausse de 54,9</w:t>
      </w:r>
      <w:r w:rsidRPr="00C73671">
        <w:rPr>
          <w:rFonts w:ascii="Times New Roman" w:hAnsi="Times New Roman" w:cs="Times New Roman"/>
          <w:sz w:val="24"/>
          <w:szCs w:val="24"/>
          <w:lang w:bidi="ar-SA"/>
        </w:rPr>
        <w:t>% par rapport au mois précédent.</w:t>
      </w:r>
    </w:p>
    <w:p w:rsidR="00B34192" w:rsidRPr="00C73671" w:rsidRDefault="00B34192" w:rsidP="00B34192">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La banane a connu une hausse de </w:t>
      </w:r>
      <w:r w:rsidR="005270B1">
        <w:rPr>
          <w:rFonts w:ascii="Times New Roman" w:eastAsia="Times New Roman" w:hAnsi="Times New Roman" w:cs="Times New Roman"/>
          <w:sz w:val="24"/>
          <w:szCs w:val="24"/>
          <w:lang w:bidi="ar-SA"/>
        </w:rPr>
        <w:t>19,6</w:t>
      </w:r>
      <w:r w:rsidRPr="00C73671">
        <w:rPr>
          <w:rFonts w:ascii="Times New Roman" w:eastAsia="Times New Roman" w:hAnsi="Times New Roman" w:cs="Times New Roman"/>
          <w:sz w:val="24"/>
          <w:szCs w:val="24"/>
          <w:lang w:bidi="ar-SA"/>
        </w:rPr>
        <w:t xml:space="preserve"> </w:t>
      </w:r>
      <w:r w:rsidR="005270B1">
        <w:rPr>
          <w:rFonts w:ascii="Times New Roman" w:hAnsi="Times New Roman" w:cs="Times New Roman"/>
          <w:sz w:val="24"/>
          <w:szCs w:val="24"/>
          <w:lang w:bidi="ar-SA"/>
        </w:rPr>
        <w:t>% contre une hausse de 26,4</w:t>
      </w:r>
      <w:r w:rsidRPr="00C73671">
        <w:rPr>
          <w:rFonts w:ascii="Times New Roman" w:hAnsi="Times New Roman" w:cs="Times New Roman"/>
          <w:sz w:val="24"/>
          <w:szCs w:val="24"/>
          <w:lang w:bidi="ar-SA"/>
        </w:rPr>
        <w:t xml:space="preserve">% par rapport au mois précédent. </w:t>
      </w:r>
    </w:p>
    <w:p w:rsidR="00B34192" w:rsidRPr="00C73671" w:rsidRDefault="00B34192" w:rsidP="00B34192">
      <w:pPr>
        <w:pStyle w:val="Paragraphedeliste"/>
        <w:tabs>
          <w:tab w:val="left" w:pos="426"/>
        </w:tabs>
        <w:spacing w:before="120" w:after="0" w:line="240" w:lineRule="auto"/>
        <w:ind w:left="0"/>
        <w:contextualSpacing w:val="0"/>
        <w:jc w:val="both"/>
        <w:rPr>
          <w:rFonts w:ascii="Times New Roman" w:hAnsi="Times New Roman" w:cs="Times New Roman"/>
          <w:b/>
          <w:bCs/>
          <w:sz w:val="22"/>
          <w:szCs w:val="22"/>
          <w:lang w:bidi="ar-SA"/>
        </w:rPr>
      </w:pPr>
    </w:p>
    <w:p w:rsidR="00B34192" w:rsidRPr="00C73671" w:rsidRDefault="00B34192" w:rsidP="00B34192">
      <w:pPr>
        <w:pStyle w:val="Paragraphedeliste"/>
        <w:tabs>
          <w:tab w:val="left" w:pos="426"/>
        </w:tabs>
        <w:spacing w:before="120" w:after="0" w:line="240" w:lineRule="auto"/>
        <w:ind w:left="0"/>
        <w:contextualSpacing w:val="0"/>
        <w:jc w:val="both"/>
        <w:rPr>
          <w:rFonts w:ascii="Times New Roman" w:hAnsi="Times New Roman" w:cs="Times New Roman"/>
          <w:b/>
          <w:bCs/>
          <w:sz w:val="22"/>
          <w:szCs w:val="22"/>
          <w:lang w:bidi="ar-SA"/>
        </w:rPr>
      </w:pPr>
    </w:p>
    <w:p w:rsidR="00B34192" w:rsidRPr="00597E27" w:rsidRDefault="00B34192" w:rsidP="00B34192">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B34192" w:rsidRPr="00597E27" w:rsidRDefault="00B34192" w:rsidP="00B34192">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B34192" w:rsidRPr="00597E27" w:rsidRDefault="00B34192" w:rsidP="00B34192">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B34192" w:rsidRPr="00597E27" w:rsidRDefault="00B34192" w:rsidP="00B34192">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B34192" w:rsidRPr="00597E27" w:rsidRDefault="00B34192" w:rsidP="00B34192">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B34192" w:rsidRDefault="00B34192" w:rsidP="00B34192">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B34192" w:rsidRPr="00597E27" w:rsidRDefault="00B34192" w:rsidP="00B34192">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B34192" w:rsidRDefault="00B34192" w:rsidP="00B34192">
      <w:pPr>
        <w:spacing w:before="0" w:after="0" w:line="240" w:lineRule="auto"/>
        <w:jc w:val="both"/>
        <w:rPr>
          <w:rFonts w:ascii="Tahoma" w:hAnsi="Tahoma" w:cs="Tahoma"/>
          <w:b/>
          <w:bCs/>
          <w:sz w:val="24"/>
          <w:szCs w:val="24"/>
          <w:lang w:bidi="ar-SA"/>
        </w:rPr>
      </w:pPr>
    </w:p>
    <w:p w:rsidR="00C73671" w:rsidRDefault="00C73671" w:rsidP="00B34192">
      <w:pPr>
        <w:spacing w:before="0" w:after="0" w:line="240" w:lineRule="auto"/>
        <w:jc w:val="both"/>
        <w:rPr>
          <w:rFonts w:ascii="Tahoma" w:hAnsi="Tahoma" w:cs="Tahoma"/>
          <w:b/>
          <w:bCs/>
          <w:sz w:val="24"/>
          <w:szCs w:val="24"/>
          <w:lang w:bidi="ar-SA"/>
        </w:rPr>
      </w:pPr>
    </w:p>
    <w:p w:rsidR="00C73671" w:rsidRDefault="00C73671" w:rsidP="00B34192">
      <w:pPr>
        <w:spacing w:before="0" w:after="0" w:line="240" w:lineRule="auto"/>
        <w:jc w:val="both"/>
        <w:rPr>
          <w:rFonts w:ascii="Tahoma" w:hAnsi="Tahoma" w:cs="Tahoma"/>
          <w:b/>
          <w:bCs/>
          <w:sz w:val="24"/>
          <w:szCs w:val="24"/>
          <w:lang w:bidi="ar-SA"/>
        </w:rPr>
      </w:pPr>
    </w:p>
    <w:p w:rsidR="00C73671" w:rsidRDefault="00C73671" w:rsidP="00B34192">
      <w:pPr>
        <w:spacing w:before="0" w:after="0" w:line="240" w:lineRule="auto"/>
        <w:jc w:val="both"/>
        <w:rPr>
          <w:rFonts w:ascii="Tahoma" w:hAnsi="Tahoma" w:cs="Tahoma"/>
          <w:b/>
          <w:bCs/>
          <w:sz w:val="24"/>
          <w:szCs w:val="24"/>
          <w:lang w:bidi="ar-SA"/>
        </w:rPr>
      </w:pPr>
    </w:p>
    <w:p w:rsidR="00C73671" w:rsidRDefault="00C73671" w:rsidP="00B34192">
      <w:pPr>
        <w:spacing w:before="0" w:after="0" w:line="240" w:lineRule="auto"/>
        <w:jc w:val="both"/>
        <w:rPr>
          <w:rFonts w:ascii="Tahoma" w:hAnsi="Tahoma" w:cs="Tahoma"/>
          <w:b/>
          <w:bCs/>
          <w:sz w:val="24"/>
          <w:szCs w:val="24"/>
          <w:lang w:bidi="ar-SA"/>
        </w:rPr>
      </w:pPr>
    </w:p>
    <w:p w:rsidR="00B34192" w:rsidRPr="00C73671" w:rsidRDefault="00B34192" w:rsidP="00B34192">
      <w:pPr>
        <w:spacing w:before="0" w:after="0" w:line="240" w:lineRule="auto"/>
        <w:jc w:val="both"/>
        <w:rPr>
          <w:rFonts w:ascii="Times New Roman" w:eastAsia="Times New Roman" w:hAnsi="Times New Roman" w:cs="Times New Roman"/>
          <w:b/>
          <w:color w:val="000000"/>
          <w:sz w:val="24"/>
          <w:szCs w:val="24"/>
          <w:lang w:bidi="ar-SA"/>
        </w:rPr>
      </w:pPr>
      <w:r w:rsidRPr="00C73671">
        <w:rPr>
          <w:rFonts w:ascii="Times New Roman" w:hAnsi="Times New Roman" w:cs="Times New Roman"/>
          <w:b/>
          <w:bCs/>
          <w:sz w:val="24"/>
          <w:szCs w:val="24"/>
          <w:lang w:bidi="ar-SA"/>
        </w:rPr>
        <w:lastRenderedPageBreak/>
        <w:t>Graphique 1 : Evolution de l’indice des prix des céréales, des légumineuses,</w:t>
      </w:r>
      <w:r w:rsidRPr="00C73671">
        <w:rPr>
          <w:rFonts w:ascii="Times New Roman" w:eastAsia="Times New Roman" w:hAnsi="Times New Roman" w:cs="Times New Roman"/>
          <w:b/>
          <w:color w:val="000000"/>
          <w:sz w:val="24"/>
          <w:szCs w:val="24"/>
          <w:lang w:bidi="ar-SA"/>
        </w:rPr>
        <w:t xml:space="preserve"> des plantes oléagineuses, des tubercules/racines et des cultures industrielles</w:t>
      </w:r>
    </w:p>
    <w:p w:rsidR="00B34192" w:rsidRPr="00857793" w:rsidRDefault="00B34192" w:rsidP="00B34192">
      <w:pPr>
        <w:pStyle w:val="Paragraphedeliste"/>
        <w:tabs>
          <w:tab w:val="left" w:pos="426"/>
        </w:tabs>
        <w:spacing w:before="120" w:after="0" w:line="240" w:lineRule="auto"/>
        <w:ind w:left="0"/>
        <w:contextualSpacing w:val="0"/>
        <w:jc w:val="both"/>
        <w:rPr>
          <w:rFonts w:ascii="Tahoma" w:hAnsi="Tahoma" w:cs="Tahoma"/>
          <w:b/>
          <w:bCs/>
          <w:sz w:val="22"/>
          <w:szCs w:val="22"/>
          <w:lang w:bidi="ar-SA"/>
        </w:rPr>
      </w:pPr>
      <w:r>
        <w:rPr>
          <w:noProof/>
          <w:lang w:val="en-US" w:bidi="ar-SA"/>
        </w:rPr>
        <w:drawing>
          <wp:inline distT="0" distB="0" distL="0" distR="0" wp14:anchorId="529B669E" wp14:editId="0CC86F04">
            <wp:extent cx="5324475" cy="2667000"/>
            <wp:effectExtent l="0" t="0" r="9525" b="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34192" w:rsidRDefault="00B34192" w:rsidP="00B34192">
      <w:pPr>
        <w:spacing w:before="0" w:after="0" w:line="240" w:lineRule="auto"/>
        <w:jc w:val="both"/>
        <w:rPr>
          <w:rFonts w:ascii="Tahoma" w:hAnsi="Tahoma" w:cs="Tahoma"/>
          <w:b/>
          <w:bCs/>
          <w:sz w:val="24"/>
          <w:szCs w:val="24"/>
          <w:lang w:bidi="ar-SA"/>
        </w:rPr>
      </w:pPr>
    </w:p>
    <w:p w:rsidR="00B34192" w:rsidRPr="00C73671" w:rsidRDefault="00B34192" w:rsidP="00B34192">
      <w:pPr>
        <w:spacing w:before="0" w:after="0" w:line="240" w:lineRule="auto"/>
        <w:jc w:val="both"/>
        <w:rPr>
          <w:rFonts w:ascii="Times New Roman" w:eastAsia="Times New Roman" w:hAnsi="Times New Roman" w:cs="Times New Roman"/>
          <w:b/>
          <w:color w:val="000000"/>
          <w:sz w:val="24"/>
          <w:szCs w:val="24"/>
          <w:lang w:bidi="ar-SA"/>
        </w:rPr>
      </w:pPr>
      <w:r w:rsidRPr="00C73671">
        <w:rPr>
          <w:rFonts w:ascii="Times New Roman" w:hAnsi="Times New Roman" w:cs="Times New Roman"/>
          <w:b/>
          <w:bCs/>
          <w:sz w:val="24"/>
          <w:szCs w:val="24"/>
          <w:lang w:bidi="ar-SA"/>
        </w:rPr>
        <w:t>Graphique 2 : Evolution de l’indice des prix des légumes frais, des bananes,</w:t>
      </w:r>
      <w:r w:rsidRPr="00C73671">
        <w:rPr>
          <w:rFonts w:ascii="Times New Roman" w:eastAsia="Times New Roman" w:hAnsi="Times New Roman" w:cs="Times New Roman"/>
          <w:b/>
          <w:color w:val="000000"/>
          <w:sz w:val="24"/>
          <w:szCs w:val="24"/>
          <w:lang w:bidi="ar-SA"/>
        </w:rPr>
        <w:t xml:space="preserve"> des fruits frais ; des produits de la sylviculture et des </w:t>
      </w:r>
      <w:r w:rsidRPr="00C73671">
        <w:rPr>
          <w:rFonts w:ascii="Times New Roman" w:hAnsi="Times New Roman" w:cs="Times New Roman"/>
          <w:b/>
          <w:sz w:val="24"/>
          <w:szCs w:val="24"/>
        </w:rPr>
        <w:t>produits</w:t>
      </w:r>
      <w:r w:rsidRPr="00C73671">
        <w:rPr>
          <w:rFonts w:ascii="Times New Roman" w:eastAsia="Times New Roman" w:hAnsi="Times New Roman" w:cs="Times New Roman"/>
          <w:b/>
          <w:color w:val="000000"/>
          <w:sz w:val="24"/>
          <w:szCs w:val="24"/>
          <w:lang w:bidi="ar-SA"/>
        </w:rPr>
        <w:t xml:space="preserve"> de la pêche (coutumière et artisanale)</w:t>
      </w:r>
    </w:p>
    <w:p w:rsidR="00B34192" w:rsidRPr="00332C07" w:rsidRDefault="00B34192" w:rsidP="00B34192">
      <w:pPr>
        <w:spacing w:before="0" w:after="0" w:line="240" w:lineRule="auto"/>
        <w:jc w:val="both"/>
        <w:rPr>
          <w:rFonts w:ascii="Tahoma" w:eastAsia="Times New Roman" w:hAnsi="Tahoma" w:cs="Tahoma"/>
          <w:b/>
          <w:color w:val="000000"/>
          <w:sz w:val="24"/>
          <w:szCs w:val="24"/>
          <w:lang w:bidi="ar-SA"/>
        </w:rPr>
      </w:pPr>
    </w:p>
    <w:p w:rsidR="00B34192" w:rsidRDefault="00B34192" w:rsidP="00B34192">
      <w:pPr>
        <w:spacing w:before="0" w:after="0" w:line="240" w:lineRule="auto"/>
        <w:jc w:val="both"/>
        <w:rPr>
          <w:rFonts w:ascii="Tahoma" w:hAnsi="Tahoma" w:cs="Tahoma"/>
          <w:b/>
          <w:bCs/>
          <w:sz w:val="24"/>
          <w:szCs w:val="24"/>
          <w:lang w:bidi="ar-SA"/>
        </w:rPr>
      </w:pPr>
      <w:r>
        <w:rPr>
          <w:noProof/>
          <w:lang w:val="en-US" w:bidi="ar-SA"/>
        </w:rPr>
        <w:drawing>
          <wp:inline distT="0" distB="0" distL="0" distR="0" wp14:anchorId="411C284A" wp14:editId="130ADDE4">
            <wp:extent cx="6096000" cy="2543175"/>
            <wp:effectExtent l="0" t="0" r="0" b="9525"/>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34192" w:rsidRDefault="00B34192" w:rsidP="00B34192">
      <w:pPr>
        <w:spacing w:before="0" w:after="0" w:line="240" w:lineRule="auto"/>
        <w:jc w:val="both"/>
        <w:rPr>
          <w:rFonts w:ascii="Tahoma" w:hAnsi="Tahoma" w:cs="Tahoma"/>
          <w:b/>
          <w:bCs/>
          <w:sz w:val="24"/>
          <w:szCs w:val="24"/>
          <w:lang w:bidi="ar-SA"/>
        </w:rPr>
      </w:pPr>
    </w:p>
    <w:p w:rsidR="00B34192" w:rsidRDefault="00B34192" w:rsidP="00B34192">
      <w:pPr>
        <w:spacing w:before="0" w:after="0" w:line="240" w:lineRule="auto"/>
        <w:jc w:val="both"/>
        <w:rPr>
          <w:rFonts w:ascii="Tahoma" w:hAnsi="Tahoma" w:cs="Tahoma"/>
          <w:b/>
          <w:bCs/>
          <w:sz w:val="24"/>
          <w:szCs w:val="24"/>
          <w:lang w:bidi="ar-SA"/>
        </w:rPr>
      </w:pPr>
    </w:p>
    <w:p w:rsidR="00B34192" w:rsidRDefault="00B34192" w:rsidP="00B34192">
      <w:pPr>
        <w:spacing w:before="0" w:after="0" w:line="240" w:lineRule="auto"/>
        <w:jc w:val="both"/>
        <w:rPr>
          <w:rFonts w:ascii="Tahoma" w:hAnsi="Tahoma" w:cs="Tahoma"/>
          <w:b/>
          <w:bCs/>
          <w:sz w:val="24"/>
          <w:szCs w:val="24"/>
          <w:lang w:bidi="ar-SA"/>
        </w:rPr>
      </w:pPr>
    </w:p>
    <w:p w:rsidR="00C73671" w:rsidRDefault="00C73671" w:rsidP="00B34192">
      <w:pPr>
        <w:spacing w:before="0" w:after="0" w:line="240" w:lineRule="auto"/>
        <w:jc w:val="both"/>
        <w:rPr>
          <w:rFonts w:ascii="Tahoma" w:hAnsi="Tahoma" w:cs="Tahoma"/>
          <w:b/>
          <w:bCs/>
          <w:sz w:val="24"/>
          <w:szCs w:val="24"/>
          <w:lang w:bidi="ar-SA"/>
        </w:rPr>
      </w:pPr>
    </w:p>
    <w:p w:rsidR="00C73671" w:rsidRDefault="00C73671" w:rsidP="00B34192">
      <w:pPr>
        <w:spacing w:before="0" w:after="0" w:line="240" w:lineRule="auto"/>
        <w:jc w:val="both"/>
        <w:rPr>
          <w:rFonts w:ascii="Tahoma" w:hAnsi="Tahoma" w:cs="Tahoma"/>
          <w:b/>
          <w:bCs/>
          <w:sz w:val="24"/>
          <w:szCs w:val="24"/>
          <w:lang w:bidi="ar-SA"/>
        </w:rPr>
      </w:pPr>
    </w:p>
    <w:p w:rsidR="00C73671" w:rsidRDefault="00C73671" w:rsidP="00B34192">
      <w:pPr>
        <w:spacing w:before="0" w:after="0" w:line="240" w:lineRule="auto"/>
        <w:jc w:val="both"/>
        <w:rPr>
          <w:rFonts w:ascii="Tahoma" w:hAnsi="Tahoma" w:cs="Tahoma"/>
          <w:b/>
          <w:bCs/>
          <w:sz w:val="24"/>
          <w:szCs w:val="24"/>
          <w:lang w:bidi="ar-SA"/>
        </w:rPr>
      </w:pPr>
    </w:p>
    <w:p w:rsidR="00B34192" w:rsidRPr="00C73671" w:rsidRDefault="00B34192" w:rsidP="00B34192">
      <w:pPr>
        <w:spacing w:before="0" w:after="0" w:line="240" w:lineRule="auto"/>
        <w:jc w:val="both"/>
        <w:rPr>
          <w:rFonts w:ascii="Times New Roman" w:eastAsia="Times New Roman" w:hAnsi="Times New Roman" w:cs="Times New Roman"/>
          <w:color w:val="000000"/>
          <w:sz w:val="24"/>
          <w:szCs w:val="24"/>
          <w:lang w:bidi="ar-SA"/>
        </w:rPr>
      </w:pPr>
      <w:r w:rsidRPr="00C73671">
        <w:rPr>
          <w:rFonts w:ascii="Times New Roman" w:hAnsi="Times New Roman" w:cs="Times New Roman"/>
          <w:b/>
          <w:bCs/>
          <w:sz w:val="24"/>
          <w:szCs w:val="24"/>
          <w:lang w:bidi="ar-SA"/>
        </w:rPr>
        <w:t xml:space="preserve">Graphique 3 : Evolution de l’indice des prix des bovins ; ovins/caprins ; des porcins ; des autres produits élevages et volailles ; des sous-produits de l'élevage, </w:t>
      </w:r>
    </w:p>
    <w:p w:rsidR="00B34192" w:rsidRPr="00597E27" w:rsidRDefault="00B34192" w:rsidP="00B34192">
      <w:pPr>
        <w:pStyle w:val="Paragraphedeliste"/>
        <w:tabs>
          <w:tab w:val="left" w:pos="426"/>
        </w:tabs>
        <w:spacing w:before="120" w:after="0" w:line="240" w:lineRule="auto"/>
        <w:ind w:left="0"/>
        <w:contextualSpacing w:val="0"/>
        <w:jc w:val="both"/>
        <w:rPr>
          <w:rFonts w:ascii="Tahoma" w:hAnsi="Tahoma" w:cs="Tahoma"/>
          <w:sz w:val="24"/>
          <w:szCs w:val="24"/>
        </w:rPr>
      </w:pPr>
    </w:p>
    <w:p w:rsidR="00B34192" w:rsidRPr="00597E27" w:rsidRDefault="00B34192" w:rsidP="00B34192">
      <w:pPr>
        <w:pStyle w:val="Paragraphedeliste"/>
        <w:tabs>
          <w:tab w:val="left" w:pos="426"/>
        </w:tabs>
        <w:spacing w:before="120" w:after="0" w:line="240" w:lineRule="auto"/>
        <w:ind w:left="0"/>
        <w:contextualSpacing w:val="0"/>
        <w:jc w:val="both"/>
        <w:rPr>
          <w:rFonts w:ascii="Tahoma" w:hAnsi="Tahoma" w:cs="Tahoma"/>
          <w:sz w:val="24"/>
          <w:szCs w:val="24"/>
        </w:rPr>
        <w:sectPr w:rsidR="00B34192" w:rsidRPr="00597E27" w:rsidSect="00A96F06">
          <w:footerReference w:type="default" r:id="rId15"/>
          <w:pgSz w:w="12240" w:h="15840"/>
          <w:pgMar w:top="1440" w:right="1440" w:bottom="1440" w:left="1418" w:header="720" w:footer="720" w:gutter="0"/>
          <w:cols w:space="720"/>
          <w:docGrid w:linePitch="360"/>
        </w:sectPr>
      </w:pPr>
      <w:r>
        <w:rPr>
          <w:noProof/>
          <w:lang w:val="en-US" w:bidi="ar-SA"/>
        </w:rPr>
        <w:drawing>
          <wp:inline distT="0" distB="0" distL="0" distR="0" wp14:anchorId="4003BDE0" wp14:editId="3357B0F6">
            <wp:extent cx="5553076" cy="3276600"/>
            <wp:effectExtent l="0" t="0" r="9525"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34192" w:rsidRPr="00A96F06" w:rsidRDefault="00B34192" w:rsidP="00B34192">
      <w:pPr>
        <w:rPr>
          <w:rFonts w:ascii="Times New Roman" w:hAnsi="Times New Roman" w:cs="Times New Roman"/>
          <w:b/>
          <w:sz w:val="24"/>
          <w:szCs w:val="24"/>
          <w:lang w:val="af-ZA"/>
        </w:rPr>
      </w:pPr>
      <w:r w:rsidRPr="00A96F06">
        <w:rPr>
          <w:rFonts w:ascii="Times New Roman" w:hAnsi="Times New Roman" w:cs="Times New Roman"/>
          <w:b/>
          <w:sz w:val="24"/>
          <w:szCs w:val="24"/>
          <w:lang w:val="af-ZA"/>
        </w:rPr>
        <w:lastRenderedPageBreak/>
        <w:t>Annexe 1: Evolution de l’ indice par classe de produits</w:t>
      </w:r>
    </w:p>
    <w:tbl>
      <w:tblPr>
        <w:tblW w:w="8789" w:type="dxa"/>
        <w:tblLook w:val="04A0" w:firstRow="1" w:lastRow="0" w:firstColumn="1" w:lastColumn="0" w:noHBand="0" w:noVBand="1"/>
      </w:tblPr>
      <w:tblGrid>
        <w:gridCol w:w="2647"/>
        <w:gridCol w:w="1280"/>
        <w:gridCol w:w="711"/>
        <w:gridCol w:w="711"/>
        <w:gridCol w:w="711"/>
        <w:gridCol w:w="711"/>
        <w:gridCol w:w="711"/>
        <w:gridCol w:w="711"/>
        <w:gridCol w:w="669"/>
        <w:gridCol w:w="656"/>
        <w:gridCol w:w="791"/>
      </w:tblGrid>
      <w:tr w:rsidR="00A96F06" w:rsidRPr="00A96F06" w:rsidTr="00A96F06">
        <w:trPr>
          <w:trHeight w:val="282"/>
        </w:trPr>
        <w:tc>
          <w:tcPr>
            <w:tcW w:w="2647" w:type="dxa"/>
            <w:vMerge w:val="restart"/>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center"/>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Nom de classe</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center"/>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Pondération</w:t>
            </w:r>
          </w:p>
        </w:tc>
        <w:tc>
          <w:tcPr>
            <w:tcW w:w="3430" w:type="dxa"/>
            <w:gridSpan w:val="6"/>
            <w:tcBorders>
              <w:top w:val="single" w:sz="4" w:space="0" w:color="auto"/>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center"/>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Indices</w:t>
            </w:r>
          </w:p>
        </w:tc>
        <w:tc>
          <w:tcPr>
            <w:tcW w:w="1656" w:type="dxa"/>
            <w:gridSpan w:val="3"/>
            <w:tcBorders>
              <w:top w:val="single" w:sz="4" w:space="0" w:color="auto"/>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center"/>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Variation en %sur:</w:t>
            </w:r>
          </w:p>
        </w:tc>
      </w:tr>
      <w:tr w:rsidR="00A96F06" w:rsidRPr="00A96F06" w:rsidTr="00A96F06">
        <w:trPr>
          <w:trHeight w:val="282"/>
        </w:trPr>
        <w:tc>
          <w:tcPr>
            <w:tcW w:w="2647" w:type="dxa"/>
            <w:vMerge/>
            <w:tcBorders>
              <w:top w:val="single" w:sz="4" w:space="0" w:color="auto"/>
              <w:left w:val="single" w:sz="4" w:space="0" w:color="auto"/>
              <w:bottom w:val="single" w:sz="4" w:space="0" w:color="auto"/>
              <w:right w:val="single" w:sz="4" w:space="0" w:color="auto"/>
            </w:tcBorders>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p>
        </w:tc>
        <w:tc>
          <w:tcPr>
            <w:tcW w:w="572" w:type="dxa"/>
            <w:tcBorders>
              <w:top w:val="nil"/>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août-22</w:t>
            </w:r>
          </w:p>
        </w:tc>
        <w:tc>
          <w:tcPr>
            <w:tcW w:w="571" w:type="dxa"/>
            <w:tcBorders>
              <w:top w:val="nil"/>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sept-22</w:t>
            </w:r>
          </w:p>
        </w:tc>
        <w:tc>
          <w:tcPr>
            <w:tcW w:w="571" w:type="dxa"/>
            <w:tcBorders>
              <w:top w:val="nil"/>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oct-22</w:t>
            </w:r>
          </w:p>
        </w:tc>
        <w:tc>
          <w:tcPr>
            <w:tcW w:w="571" w:type="dxa"/>
            <w:tcBorders>
              <w:top w:val="nil"/>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nov-22</w:t>
            </w:r>
          </w:p>
        </w:tc>
        <w:tc>
          <w:tcPr>
            <w:tcW w:w="571" w:type="dxa"/>
            <w:tcBorders>
              <w:top w:val="nil"/>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déc-22</w:t>
            </w:r>
          </w:p>
        </w:tc>
        <w:tc>
          <w:tcPr>
            <w:tcW w:w="571" w:type="dxa"/>
            <w:tcBorders>
              <w:top w:val="nil"/>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janv-23</w:t>
            </w:r>
          </w:p>
        </w:tc>
        <w:tc>
          <w:tcPr>
            <w:tcW w:w="523" w:type="dxa"/>
            <w:tcBorders>
              <w:top w:val="nil"/>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 Mois</w:t>
            </w:r>
          </w:p>
        </w:tc>
        <w:tc>
          <w:tcPr>
            <w:tcW w:w="499" w:type="dxa"/>
            <w:tcBorders>
              <w:top w:val="nil"/>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 Trim</w:t>
            </w:r>
          </w:p>
        </w:tc>
        <w:tc>
          <w:tcPr>
            <w:tcW w:w="633" w:type="dxa"/>
            <w:tcBorders>
              <w:top w:val="nil"/>
              <w:left w:val="nil"/>
              <w:bottom w:val="single" w:sz="4" w:space="0" w:color="auto"/>
              <w:right w:val="single" w:sz="4" w:space="0" w:color="auto"/>
            </w:tcBorders>
            <w:shd w:val="clear" w:color="000000" w:fill="92D050"/>
            <w:noWrap/>
            <w:vAlign w:val="bottom"/>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  Année</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Céréales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42,0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188,4</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207,0</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243,7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266,2</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273,2</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268,5</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26,4</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71,4</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Tubércules et racines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416,0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111,2</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109,7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120,9</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119,9</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130,5</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132,0</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1,2</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11,9</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21,9</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Légumineuses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91,0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143,2</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155,6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179,6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196,7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210,4</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234,0</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11,2</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34,0</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77,6</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Produits des plantes oléagineuses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6,0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206,5</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212,5</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225,0</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244,2</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231,4</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267,0</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15,4</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15,3</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51,4</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Cultures industrielles/exportations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51,0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174,6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174,6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174,6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174,6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174,6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174,6</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0,0</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0,0</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11,6</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Légumes frais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128,0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144,9</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144,6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158,5</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135,8</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139,8</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134,4</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-3,9</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-8,5</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-6,8</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Banane</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138,0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130,2</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124,8</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125,5</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128,3</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138,0</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143,0</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3,6</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7,6</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19,6</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Fruits frais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154,5</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159,1</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165,8</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189,3</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199,3</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179,1</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-10,2</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18,4</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18,8</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Bovins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30,0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171,2</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169,7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164,4</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166,7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175,7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168,6</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-4,1</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1,1</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16,6</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Ovins caprins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18,0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157,7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155,3</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155,6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156,8</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162,5</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160,6</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-1,1</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2,4</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6,5</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Porcins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9,0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160,6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159,6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160,2</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164,5</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177,7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169,3</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-4,8</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6,5</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32,8</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Autres produits élevages et volailles</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4,0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166,5</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167,6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172,1</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171,3</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174,9</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174,5</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-0,2</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2,9</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26,2</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Sous produits de l'élevage</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138,2</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138,4</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139,7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139,1</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141,9</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142,7</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0,6</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1,8</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10,2</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Produits de la sylviculture et de l’exploitation forestière</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17,0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84,3</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84,7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85,3</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88,1</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88,6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82,3</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-7,1</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1,8</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-5,9</w:t>
            </w:r>
          </w:p>
        </w:tc>
      </w:tr>
      <w:tr w:rsidR="00A96F06" w:rsidRPr="00A96F06" w:rsidTr="00A96F06">
        <w:trPr>
          <w:trHeight w:val="282"/>
        </w:trPr>
        <w:tc>
          <w:tcPr>
            <w:tcW w:w="2647" w:type="dxa"/>
            <w:tcBorders>
              <w:top w:val="nil"/>
              <w:left w:val="single" w:sz="4" w:space="0" w:color="auto"/>
              <w:bottom w:val="single" w:sz="4" w:space="0" w:color="auto"/>
              <w:right w:val="single" w:sz="4" w:space="0" w:color="auto"/>
            </w:tcBorders>
            <w:shd w:val="clear" w:color="auto" w:fill="auto"/>
            <w:noWrap/>
            <w:vAlign w:val="center"/>
            <w:hideMark/>
          </w:tcPr>
          <w:p w:rsidR="00A96F06" w:rsidRPr="00A96F06" w:rsidRDefault="00A96F06" w:rsidP="00A96F06">
            <w:pPr>
              <w:spacing w:before="0" w:after="0" w:line="240" w:lineRule="auto"/>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Produits de la pêche (coutumière et artisanale)</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20,0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237,9</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304,8</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213,7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204,7</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203,9</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206,5</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1,3</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-18,7</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color w:val="000000"/>
                <w:sz w:val="22"/>
                <w:szCs w:val="22"/>
                <w:lang w:val="af-ZA" w:bidi="ar-SA"/>
              </w:rPr>
            </w:pPr>
            <w:r w:rsidRPr="00A96F06">
              <w:rPr>
                <w:rFonts w:ascii="Times New Roman" w:eastAsia="Times New Roman" w:hAnsi="Times New Roman" w:cs="Times New Roman"/>
                <w:color w:val="000000"/>
                <w:sz w:val="22"/>
                <w:szCs w:val="22"/>
                <w:lang w:val="af-ZA" w:bidi="ar-SA"/>
              </w:rPr>
              <w:t>159,0</w:t>
            </w:r>
          </w:p>
        </w:tc>
      </w:tr>
      <w:tr w:rsidR="00A96F06" w:rsidRPr="00A96F06" w:rsidTr="00A96F06">
        <w:trPr>
          <w:trHeight w:val="355"/>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rPr>
                <w:rFonts w:ascii="Times New Roman" w:eastAsia="Times New Roman" w:hAnsi="Times New Roman" w:cs="Times New Roman"/>
                <w:b/>
                <w:bCs/>
                <w:color w:val="000000"/>
                <w:sz w:val="22"/>
                <w:szCs w:val="22"/>
                <w:lang w:val="af-ZA" w:bidi="ar-SA"/>
              </w:rPr>
            </w:pPr>
            <w:r w:rsidRPr="00A96F06">
              <w:rPr>
                <w:rFonts w:ascii="Times New Roman" w:eastAsia="Times New Roman" w:hAnsi="Times New Roman" w:cs="Times New Roman"/>
                <w:b/>
                <w:bCs/>
                <w:color w:val="000000"/>
                <w:sz w:val="22"/>
                <w:szCs w:val="22"/>
                <w:lang w:val="af-ZA" w:bidi="ar-SA"/>
              </w:rPr>
              <w:t>Ensemble</w:t>
            </w:r>
          </w:p>
        </w:tc>
        <w:tc>
          <w:tcPr>
            <w:tcW w:w="1056"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1000,0</w:t>
            </w:r>
          </w:p>
        </w:tc>
        <w:tc>
          <w:tcPr>
            <w:tcW w:w="572"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134,6</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136,4</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145,0</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145,0</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153,4</w:t>
            </w:r>
          </w:p>
        </w:tc>
        <w:tc>
          <w:tcPr>
            <w:tcW w:w="571"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155,5</w:t>
            </w:r>
          </w:p>
        </w:tc>
        <w:tc>
          <w:tcPr>
            <w:tcW w:w="52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1,4</w:t>
            </w:r>
          </w:p>
        </w:tc>
        <w:tc>
          <w:tcPr>
            <w:tcW w:w="499"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9,1</w:t>
            </w:r>
          </w:p>
        </w:tc>
        <w:tc>
          <w:tcPr>
            <w:tcW w:w="633" w:type="dxa"/>
            <w:tcBorders>
              <w:top w:val="nil"/>
              <w:left w:val="nil"/>
              <w:bottom w:val="single" w:sz="4" w:space="0" w:color="auto"/>
              <w:right w:val="single" w:sz="4" w:space="0" w:color="auto"/>
            </w:tcBorders>
            <w:shd w:val="clear" w:color="auto" w:fill="auto"/>
            <w:noWrap/>
            <w:vAlign w:val="bottom"/>
            <w:hideMark/>
          </w:tcPr>
          <w:p w:rsidR="00A96F06" w:rsidRPr="00A96F06" w:rsidRDefault="00A96F06" w:rsidP="00A96F06">
            <w:pPr>
              <w:spacing w:before="0" w:after="0" w:line="240" w:lineRule="auto"/>
              <w:jc w:val="right"/>
              <w:rPr>
                <w:rFonts w:ascii="Times New Roman" w:eastAsia="Times New Roman" w:hAnsi="Times New Roman" w:cs="Times New Roman"/>
                <w:b/>
                <w:color w:val="000000"/>
                <w:sz w:val="22"/>
                <w:szCs w:val="22"/>
                <w:lang w:val="af-ZA" w:bidi="ar-SA"/>
              </w:rPr>
            </w:pPr>
            <w:r w:rsidRPr="00A96F06">
              <w:rPr>
                <w:rFonts w:ascii="Times New Roman" w:eastAsia="Times New Roman" w:hAnsi="Times New Roman" w:cs="Times New Roman"/>
                <w:b/>
                <w:color w:val="000000"/>
                <w:sz w:val="22"/>
                <w:szCs w:val="22"/>
                <w:lang w:val="af-ZA" w:bidi="ar-SA"/>
              </w:rPr>
              <w:t>25,8</w:t>
            </w:r>
          </w:p>
        </w:tc>
      </w:tr>
    </w:tbl>
    <w:p w:rsidR="00A96F06" w:rsidRDefault="00A96F06" w:rsidP="00B34192">
      <w:pPr>
        <w:rPr>
          <w:rFonts w:ascii="Tahoma" w:hAnsi="Tahoma" w:cs="Tahoma"/>
          <w:b/>
          <w:sz w:val="24"/>
          <w:szCs w:val="24"/>
          <w:lang w:val="af-ZA"/>
        </w:rPr>
      </w:pPr>
    </w:p>
    <w:p w:rsidR="00A96F06" w:rsidRDefault="00A96F06" w:rsidP="00B34192">
      <w:pPr>
        <w:rPr>
          <w:rFonts w:ascii="Tahoma" w:hAnsi="Tahoma" w:cs="Tahoma"/>
          <w:b/>
          <w:sz w:val="24"/>
          <w:szCs w:val="24"/>
          <w:lang w:val="af-ZA"/>
        </w:rPr>
      </w:pPr>
    </w:p>
    <w:p w:rsidR="00B34192" w:rsidRDefault="00B34192" w:rsidP="00B34192">
      <w:pPr>
        <w:rPr>
          <w:rFonts w:ascii="Tahoma" w:hAnsi="Tahoma" w:cs="Tahoma"/>
          <w:b/>
          <w:sz w:val="24"/>
          <w:szCs w:val="24"/>
          <w:lang w:val="af-ZA"/>
        </w:rPr>
      </w:pPr>
    </w:p>
    <w:p w:rsidR="00B34192" w:rsidRDefault="00B34192" w:rsidP="00B34192">
      <w:pPr>
        <w:rPr>
          <w:rFonts w:ascii="Tahoma" w:hAnsi="Tahoma" w:cs="Tahoma"/>
          <w:b/>
          <w:sz w:val="24"/>
          <w:szCs w:val="24"/>
          <w:lang w:val="af-ZA"/>
        </w:rPr>
      </w:pPr>
    </w:p>
    <w:p w:rsidR="00B34192" w:rsidRDefault="00B34192" w:rsidP="00B34192">
      <w:pPr>
        <w:rPr>
          <w:rFonts w:ascii="Tahoma" w:hAnsi="Tahoma" w:cs="Tahoma"/>
          <w:b/>
          <w:sz w:val="24"/>
          <w:szCs w:val="24"/>
          <w:lang w:val="af-ZA"/>
        </w:rPr>
      </w:pPr>
    </w:p>
    <w:p w:rsidR="00B34192" w:rsidRDefault="00B34192" w:rsidP="00B34192">
      <w:pPr>
        <w:rPr>
          <w:rFonts w:ascii="Tahoma" w:hAnsi="Tahoma" w:cs="Tahoma"/>
          <w:b/>
          <w:sz w:val="24"/>
          <w:szCs w:val="24"/>
          <w:lang w:val="af-ZA"/>
        </w:rPr>
      </w:pPr>
    </w:p>
    <w:p w:rsidR="00B34192" w:rsidRDefault="00B34192" w:rsidP="00B34192">
      <w:pPr>
        <w:rPr>
          <w:rFonts w:ascii="Tahoma" w:hAnsi="Tahoma" w:cs="Tahoma"/>
          <w:b/>
          <w:sz w:val="24"/>
          <w:szCs w:val="24"/>
          <w:lang w:val="af-ZA"/>
        </w:rPr>
      </w:pPr>
    </w:p>
    <w:p w:rsidR="00B34192" w:rsidRDefault="00B34192" w:rsidP="00B34192">
      <w:pPr>
        <w:rPr>
          <w:rFonts w:ascii="Tahoma" w:hAnsi="Tahoma" w:cs="Tahoma"/>
          <w:b/>
          <w:sz w:val="24"/>
          <w:szCs w:val="24"/>
          <w:lang w:val="af-ZA"/>
        </w:rPr>
      </w:pPr>
    </w:p>
    <w:p w:rsidR="00B34192" w:rsidRDefault="00B34192" w:rsidP="00B34192">
      <w:pPr>
        <w:rPr>
          <w:rFonts w:ascii="Tahoma" w:hAnsi="Tahoma" w:cs="Tahoma"/>
          <w:b/>
          <w:sz w:val="24"/>
          <w:szCs w:val="24"/>
          <w:lang w:val="af-ZA"/>
        </w:rPr>
      </w:pPr>
    </w:p>
    <w:p w:rsidR="00B34192" w:rsidRPr="00597E27" w:rsidRDefault="00B34192" w:rsidP="00B34192">
      <w:pPr>
        <w:rPr>
          <w:rFonts w:ascii="Tahoma" w:hAnsi="Tahoma" w:cs="Tahoma"/>
          <w:b/>
          <w:sz w:val="24"/>
          <w:szCs w:val="24"/>
          <w:lang w:val="af-ZA"/>
        </w:rPr>
      </w:pPr>
    </w:p>
    <w:p w:rsidR="00B34192" w:rsidRPr="00C73671" w:rsidRDefault="00B34192" w:rsidP="00B34192">
      <w:pPr>
        <w:jc w:val="both"/>
        <w:rPr>
          <w:rFonts w:ascii="Times New Roman" w:hAnsi="Times New Roman" w:cs="Times New Roman"/>
          <w:b/>
          <w:sz w:val="24"/>
          <w:szCs w:val="24"/>
          <w:lang w:val="af-ZA"/>
        </w:rPr>
      </w:pPr>
      <w:r w:rsidRPr="00C73671">
        <w:rPr>
          <w:rFonts w:ascii="Times New Roman" w:hAnsi="Times New Roman" w:cs="Times New Roman"/>
          <w:b/>
          <w:sz w:val="24"/>
          <w:szCs w:val="24"/>
          <w:lang w:val="af-ZA"/>
        </w:rPr>
        <w:t>Annexe 2. Evolution des indices des produits élementaires</w:t>
      </w:r>
    </w:p>
    <w:tbl>
      <w:tblPr>
        <w:tblW w:w="8794" w:type="dxa"/>
        <w:tblLook w:val="04A0" w:firstRow="1" w:lastRow="0" w:firstColumn="1" w:lastColumn="0" w:noHBand="0" w:noVBand="1"/>
      </w:tblPr>
      <w:tblGrid>
        <w:gridCol w:w="1886"/>
        <w:gridCol w:w="1183"/>
        <w:gridCol w:w="666"/>
        <w:gridCol w:w="666"/>
        <w:gridCol w:w="666"/>
        <w:gridCol w:w="666"/>
        <w:gridCol w:w="666"/>
        <w:gridCol w:w="666"/>
        <w:gridCol w:w="752"/>
        <w:gridCol w:w="752"/>
        <w:gridCol w:w="753"/>
      </w:tblGrid>
      <w:tr w:rsidR="00A96F06" w:rsidRPr="0049524E" w:rsidTr="0049524E">
        <w:trPr>
          <w:trHeight w:val="254"/>
          <w:tblHeader/>
        </w:trPr>
        <w:tc>
          <w:tcPr>
            <w:tcW w:w="1886" w:type="dxa"/>
            <w:vMerge w:val="restart"/>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jc w:val="center"/>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Intitulé des produits </w:t>
            </w:r>
          </w:p>
        </w:tc>
        <w:tc>
          <w:tcPr>
            <w:tcW w:w="1095" w:type="dxa"/>
            <w:vMerge w:val="restart"/>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jc w:val="center"/>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Pondération</w:t>
            </w:r>
          </w:p>
        </w:tc>
        <w:tc>
          <w:tcPr>
            <w:tcW w:w="3556" w:type="dxa"/>
            <w:gridSpan w:val="6"/>
            <w:tcBorders>
              <w:top w:val="single" w:sz="4" w:space="0" w:color="auto"/>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jc w:val="center"/>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Indices</w:t>
            </w:r>
          </w:p>
        </w:tc>
        <w:tc>
          <w:tcPr>
            <w:tcW w:w="2257" w:type="dxa"/>
            <w:gridSpan w:val="3"/>
            <w:tcBorders>
              <w:top w:val="single" w:sz="4" w:space="0" w:color="auto"/>
              <w:left w:val="nil"/>
              <w:bottom w:val="single" w:sz="4" w:space="0" w:color="auto"/>
              <w:right w:val="single" w:sz="4" w:space="0" w:color="auto"/>
            </w:tcBorders>
            <w:shd w:val="clear" w:color="000000" w:fill="B4C6E7"/>
            <w:noWrap/>
            <w:vAlign w:val="bottom"/>
            <w:hideMark/>
          </w:tcPr>
          <w:p w:rsidR="00A96F06" w:rsidRPr="0049524E" w:rsidRDefault="0049524E" w:rsidP="00A96F06">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Variation</w:t>
            </w:r>
            <w:r w:rsidR="00A96F06" w:rsidRPr="0049524E">
              <w:rPr>
                <w:rFonts w:ascii="Times New Roman" w:eastAsia="Times New Roman" w:hAnsi="Times New Roman" w:cs="Times New Roman"/>
                <w:color w:val="000000"/>
                <w:lang w:val="af-ZA" w:bidi="ar-SA"/>
              </w:rPr>
              <w:t xml:space="preserve"> en % sur:</w:t>
            </w:r>
          </w:p>
        </w:tc>
      </w:tr>
      <w:tr w:rsidR="00A96F06" w:rsidRPr="0049524E" w:rsidTr="0049524E">
        <w:trPr>
          <w:trHeight w:val="254"/>
          <w:tblHeader/>
        </w:trPr>
        <w:tc>
          <w:tcPr>
            <w:tcW w:w="1886" w:type="dxa"/>
            <w:vMerge/>
            <w:tcBorders>
              <w:top w:val="single" w:sz="4" w:space="0" w:color="auto"/>
              <w:left w:val="single" w:sz="4" w:space="0" w:color="auto"/>
              <w:bottom w:val="single" w:sz="4" w:space="0" w:color="auto"/>
              <w:right w:val="single" w:sz="4" w:space="0" w:color="auto"/>
            </w:tcBorders>
            <w:vAlign w:val="center"/>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p>
        </w:tc>
        <w:tc>
          <w:tcPr>
            <w:tcW w:w="1095" w:type="dxa"/>
            <w:vMerge/>
            <w:tcBorders>
              <w:top w:val="single" w:sz="4" w:space="0" w:color="auto"/>
              <w:left w:val="single" w:sz="4" w:space="0" w:color="auto"/>
              <w:bottom w:val="single" w:sz="4" w:space="0" w:color="auto"/>
              <w:right w:val="single" w:sz="4" w:space="0" w:color="auto"/>
            </w:tcBorders>
            <w:vAlign w:val="center"/>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p>
        </w:tc>
        <w:tc>
          <w:tcPr>
            <w:tcW w:w="592" w:type="dxa"/>
            <w:tcBorders>
              <w:top w:val="nil"/>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août-22</w:t>
            </w:r>
          </w:p>
        </w:tc>
        <w:tc>
          <w:tcPr>
            <w:tcW w:w="592" w:type="dxa"/>
            <w:tcBorders>
              <w:top w:val="nil"/>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sept-22</w:t>
            </w:r>
          </w:p>
        </w:tc>
        <w:tc>
          <w:tcPr>
            <w:tcW w:w="592" w:type="dxa"/>
            <w:tcBorders>
              <w:top w:val="nil"/>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oct-22</w:t>
            </w:r>
          </w:p>
        </w:tc>
        <w:tc>
          <w:tcPr>
            <w:tcW w:w="592" w:type="dxa"/>
            <w:tcBorders>
              <w:top w:val="nil"/>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nov-22</w:t>
            </w:r>
          </w:p>
        </w:tc>
        <w:tc>
          <w:tcPr>
            <w:tcW w:w="592" w:type="dxa"/>
            <w:tcBorders>
              <w:top w:val="nil"/>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déc-22</w:t>
            </w:r>
          </w:p>
        </w:tc>
        <w:tc>
          <w:tcPr>
            <w:tcW w:w="592" w:type="dxa"/>
            <w:tcBorders>
              <w:top w:val="nil"/>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janv-23</w:t>
            </w:r>
          </w:p>
        </w:tc>
        <w:tc>
          <w:tcPr>
            <w:tcW w:w="752" w:type="dxa"/>
            <w:tcBorders>
              <w:top w:val="nil"/>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 Mois</w:t>
            </w:r>
          </w:p>
        </w:tc>
        <w:tc>
          <w:tcPr>
            <w:tcW w:w="752" w:type="dxa"/>
            <w:tcBorders>
              <w:top w:val="nil"/>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 Trim</w:t>
            </w:r>
          </w:p>
        </w:tc>
        <w:tc>
          <w:tcPr>
            <w:tcW w:w="752" w:type="dxa"/>
            <w:tcBorders>
              <w:top w:val="nil"/>
              <w:left w:val="nil"/>
              <w:bottom w:val="single" w:sz="4" w:space="0" w:color="auto"/>
              <w:right w:val="single" w:sz="4" w:space="0" w:color="auto"/>
            </w:tcBorders>
            <w:shd w:val="clear" w:color="000000" w:fill="B4C6E7"/>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 Année</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Blé</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137,8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145,4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175,6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155,5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154,9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163,1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23,1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Maïs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23,0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213,0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241,3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291,8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323,7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333,2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317,3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30,6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83,6</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Riz paddy</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152,8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162,6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186,3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209,3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217,8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229,0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30,8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76,2</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Sorgho à graines rouges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177,8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182,2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198,8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212,5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221,9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39,9</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Sorgho à graines blanches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180,1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180,1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180,1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180,1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180,1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180,1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41,7</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Eleusine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154,7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155,6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164,4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173,7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175,8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180,4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Pommes de terre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168,8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171,9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178,3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190,9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176,1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25,2</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Manioc doux</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107,6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104,1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122,5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129,3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25,9</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Manioc amer</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258,0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101,6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101,6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113,8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119,3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122,2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16,4</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Colocase (amateke y'Ikirundi</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112,7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44,9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52,4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49524E">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-33,5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Colocase (amateke y'Ikizungu)</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128,7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131,2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137,4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137,5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158,2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155,1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37,6</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Patates douces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119,9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124,3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133,1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151,3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158,5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169,0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36,8</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Haricots jaune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157,7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164,0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182,2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209,2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222,0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239,2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33,1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59,6</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Haricots rouge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158,7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186,7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218,1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237,5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269,2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47,2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108,9</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Haricots mélangé (kirundo)</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148,8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161,8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190,9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225,9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248,5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273,0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49,0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117,5</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Petit pois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141,3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154,8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171,4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183,5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191,6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214,2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58,8</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 xml:space="preserve">Niébe </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186,7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100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pois cajan</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163,9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228,2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242,0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278,6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283,6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48,4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139,4</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Arachides( coques ou décortiqué)</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253,2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261,1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283,2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312,8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285,3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353,2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23,8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57,7</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Soja</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192,8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205,4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213,5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208,4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214,1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224,1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14,8</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Tournesol</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143,3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143,3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143,3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159,2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159,2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159,2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66,7</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Café cérise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39,0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14,3</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Thé brut (feuilles vertes)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112,0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Coton graine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Canne à sucre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142,9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Amarantes (lenga lenga)</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130,4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129,6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148,6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145,3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135,8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31,2</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lastRenderedPageBreak/>
              <w:t>Ognons rouges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92,2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91,9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95,1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108,6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109,9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118,0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0,2</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Ognons blancs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115,6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118,0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134,0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25,7</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Aubergine Viollette ( Viringanya)</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122,3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125,3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143,7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139,5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121,5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119,5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-5,8</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Aubergine Amer ( z'Ikirundi)</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157,8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148,2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153,3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174,0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174,9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159,0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Tomate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123,6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122,4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128,2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135,4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145,4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144,3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16,3</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C73671" w:rsidP="00A96F06">
            <w:pPr>
              <w:spacing w:before="0" w:after="0" w:line="240" w:lineRule="auto"/>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Choux pommé</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151,3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150,5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187,5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200,6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172,7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13,8</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Poireau</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133,1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145,9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120,2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137,3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35,1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Poivron</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117,2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112,4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131,7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8,9</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Carotte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124,5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107,2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119,3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132,1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129,5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132,2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Epinard</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109,6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115,9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116,2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135,5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133,4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135,2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-14,3</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Concombre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507,7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523,4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587,2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-100,0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 xml:space="preserve">Banane à cuire </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29,0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136,6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136,1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146,4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160,3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39,8</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Banane à vin</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128,0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122,3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121,4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122,8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132,5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137,7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14,7</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Bananes à fruits longues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128,5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128,3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163,4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134,2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143,0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144,2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Bananes à fuits courtes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153,8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149,5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149,1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153,7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162,1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170,4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16,3</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Ananas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139,1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136,5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143,5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144,6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141,2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136,9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Oranges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195,7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215,7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230,5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305,2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404,5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295,7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56,6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44,2</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Mandarines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184,3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195,1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214,7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332,7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344,1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256,5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-25,4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57,1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14,9</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Citrons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135,5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154,1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170,2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194,1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199,4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215,5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32,5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Maracouja</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115,7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123,7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144,3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139,0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132,0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Avocats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161,9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165,5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163,1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169,5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31,5</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Mangues de grande taille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174,5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187,1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157,6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128,2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140,4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18,5</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Mangue de petite taille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153,7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151,7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185,7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179,4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132,2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138,7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3,3</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Prune du Japon</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120,6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110,7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119,6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118,6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122,2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120,4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5,7</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Taureau sur pied race locale (4 à 5 ans)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169,7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164,6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159,1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160,6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171,2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163,6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13,8</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Vache sur pied (4 à 5 ans)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174,1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175,1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178,9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184,7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178,4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22,1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Mouton sur pied (3 à 5 ans)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170,6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168,0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169,4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170,2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174,7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170,9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8,5</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Chèvre locale sur pied (3 à 5 ans)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155,1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152,8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154,1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158,6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Porcins sur pied (1 à 2 ans)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160,6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159,6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160,2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164,5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177,7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169,3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6,5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32,8</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 xml:space="preserve">Lapin </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169,9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163,1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168,9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169,2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177,2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174,3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40,9</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Poules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198,7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198,3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201,1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196,0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206,3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203,7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lastRenderedPageBreak/>
              <w:t>Canards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137,3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148,1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156,3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154,5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159,0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154,2</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29,5</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Cobayes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160,1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160,9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162,2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165,6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157,2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165,7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16,6</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Lait de vache brut</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130,0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130,8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131,8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130,7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133,6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134,9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9,4</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Œufs</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189,9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188,6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191,4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192,1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194,5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195,0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Miel</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116,7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113,9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115,6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117,4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119,1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116,7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-0,2</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Grumes (bois d'œuvre)( Planche)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108,1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105,2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106,5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105,3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106,3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104,7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2,4</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Bois de chauffe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75,9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75,9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75,9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80,5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80,5</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72,9</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2,7</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-10,2</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 xml:space="preserve">Charbon de bois </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131,2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135,8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140,4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132,9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136,1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136,1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-0,5</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10,6</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Ndagala</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288,2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298,9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290,3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264,8</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255,1</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266,8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-10,3</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23,1</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Nyamunyamu</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7,0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344,4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395,7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444,7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433,6</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322,2</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321,0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-0,4</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-9,1</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100,0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Kahuzo</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4,0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298,4</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310,9</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200,7</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203,8</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-33,6</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100,0</w:t>
            </w:r>
          </w:p>
        </w:tc>
      </w:tr>
      <w:tr w:rsidR="00A96F06" w:rsidRPr="0049524E" w:rsidTr="0049524E">
        <w:trPr>
          <w:trHeight w:val="254"/>
        </w:trPr>
        <w:tc>
          <w:tcPr>
            <w:tcW w:w="1886" w:type="dxa"/>
            <w:tcBorders>
              <w:top w:val="nil"/>
              <w:left w:val="single" w:sz="4" w:space="0" w:color="auto"/>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Mukeke</w:t>
            </w:r>
          </w:p>
        </w:tc>
        <w:tc>
          <w:tcPr>
            <w:tcW w:w="1095"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5,0</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177,3</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59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49524E" w:rsidP="00A96F06">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-100,0</w:t>
            </w:r>
          </w:p>
        </w:tc>
        <w:tc>
          <w:tcPr>
            <w:tcW w:w="752" w:type="dxa"/>
            <w:tcBorders>
              <w:top w:val="nil"/>
              <w:left w:val="nil"/>
              <w:bottom w:val="single" w:sz="4" w:space="0" w:color="auto"/>
              <w:right w:val="single" w:sz="4" w:space="0" w:color="auto"/>
            </w:tcBorders>
            <w:shd w:val="clear" w:color="auto" w:fill="auto"/>
            <w:noWrap/>
            <w:vAlign w:val="bottom"/>
            <w:hideMark/>
          </w:tcPr>
          <w:p w:rsidR="00A96F06" w:rsidRPr="0049524E" w:rsidRDefault="00A96F06" w:rsidP="00A96F06">
            <w:pPr>
              <w:spacing w:before="0" w:after="0" w:line="240" w:lineRule="auto"/>
              <w:jc w:val="right"/>
              <w:rPr>
                <w:rFonts w:ascii="Times New Roman" w:eastAsia="Times New Roman" w:hAnsi="Times New Roman" w:cs="Times New Roman"/>
                <w:color w:val="000000"/>
                <w:lang w:val="af-ZA" w:bidi="ar-SA"/>
              </w:rPr>
            </w:pPr>
            <w:r w:rsidRPr="0049524E">
              <w:rPr>
                <w:rFonts w:ascii="Times New Roman" w:eastAsia="Times New Roman" w:hAnsi="Times New Roman" w:cs="Times New Roman"/>
                <w:color w:val="000000"/>
                <w:lang w:val="af-ZA" w:bidi="ar-SA"/>
              </w:rPr>
              <w:t>-100,0</w:t>
            </w:r>
          </w:p>
        </w:tc>
      </w:tr>
    </w:tbl>
    <w:p w:rsidR="00B34192" w:rsidRPr="00C73671" w:rsidRDefault="00B34192" w:rsidP="00B34192">
      <w:pPr>
        <w:rPr>
          <w:rFonts w:ascii="Times New Roman" w:hAnsi="Times New Roman" w:cs="Times New Roman"/>
          <w:b/>
          <w:sz w:val="24"/>
          <w:szCs w:val="24"/>
          <w:lang w:val="af-ZA"/>
        </w:rPr>
      </w:pPr>
    </w:p>
    <w:p w:rsidR="00B34192" w:rsidRPr="00C73671" w:rsidRDefault="00B34192" w:rsidP="00B34192">
      <w:pPr>
        <w:ind w:left="1276" w:hanging="1276"/>
        <w:jc w:val="both"/>
        <w:rPr>
          <w:rFonts w:ascii="Times New Roman" w:hAnsi="Times New Roman" w:cs="Times New Roman"/>
          <w:b/>
          <w:sz w:val="24"/>
          <w:szCs w:val="24"/>
          <w:lang w:val="af-ZA"/>
        </w:rPr>
      </w:pPr>
      <w:r w:rsidRPr="00C73671">
        <w:rPr>
          <w:rFonts w:ascii="Times New Roman" w:hAnsi="Times New Roman" w:cs="Times New Roman"/>
          <w:b/>
          <w:sz w:val="24"/>
          <w:szCs w:val="24"/>
          <w:lang w:val="af-ZA"/>
        </w:rPr>
        <w:t>Annexe 3: Prix des produit</w:t>
      </w:r>
      <w:r w:rsidR="00C73671" w:rsidRPr="00C73671">
        <w:rPr>
          <w:rFonts w:ascii="Times New Roman" w:hAnsi="Times New Roman" w:cs="Times New Roman"/>
          <w:b/>
          <w:sz w:val="24"/>
          <w:szCs w:val="24"/>
          <w:lang w:val="af-ZA"/>
        </w:rPr>
        <w:t xml:space="preserve">s agricoles des mois de </w:t>
      </w:r>
      <w:r w:rsidRPr="00C73671">
        <w:rPr>
          <w:rFonts w:ascii="Times New Roman" w:hAnsi="Times New Roman" w:cs="Times New Roman"/>
          <w:b/>
          <w:sz w:val="24"/>
          <w:szCs w:val="24"/>
          <w:lang w:val="af-ZA"/>
        </w:rPr>
        <w:t>décembre 2022</w:t>
      </w:r>
      <w:r w:rsidR="00C73671" w:rsidRPr="00C73671">
        <w:rPr>
          <w:rFonts w:ascii="Times New Roman" w:hAnsi="Times New Roman" w:cs="Times New Roman"/>
          <w:b/>
          <w:sz w:val="24"/>
          <w:szCs w:val="24"/>
          <w:lang w:val="af-ZA"/>
        </w:rPr>
        <w:t xml:space="preserve"> et de janvier 2023</w:t>
      </w:r>
    </w:p>
    <w:p w:rsidR="00C73671" w:rsidRDefault="00C73671" w:rsidP="00B34192">
      <w:pPr>
        <w:ind w:left="1276" w:hanging="1276"/>
        <w:jc w:val="both"/>
        <w:rPr>
          <w:rFonts w:ascii="Tahoma" w:hAnsi="Tahoma" w:cs="Tahoma"/>
          <w:b/>
          <w:sz w:val="24"/>
          <w:szCs w:val="24"/>
          <w:lang w:val="af-ZA"/>
        </w:rPr>
      </w:pPr>
    </w:p>
    <w:tbl>
      <w:tblPr>
        <w:tblW w:w="9396" w:type="dxa"/>
        <w:tblLook w:val="04A0" w:firstRow="1" w:lastRow="0" w:firstColumn="1" w:lastColumn="0" w:noHBand="0" w:noVBand="1"/>
      </w:tblPr>
      <w:tblGrid>
        <w:gridCol w:w="1183"/>
        <w:gridCol w:w="3441"/>
        <w:gridCol w:w="972"/>
        <w:gridCol w:w="848"/>
        <w:gridCol w:w="1558"/>
        <w:gridCol w:w="1459"/>
      </w:tblGrid>
      <w:tr w:rsidR="00C73671" w:rsidRPr="00C73671" w:rsidTr="00C73671">
        <w:trPr>
          <w:trHeight w:val="615"/>
          <w:tblHeader/>
        </w:trPr>
        <w:tc>
          <w:tcPr>
            <w:tcW w:w="1183"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rsidR="00C73671" w:rsidRPr="00C73671" w:rsidRDefault="00C73671" w:rsidP="00C73671">
            <w:pPr>
              <w:spacing w:before="0" w:after="0" w:line="240" w:lineRule="auto"/>
              <w:jc w:val="center"/>
              <w:rPr>
                <w:rFonts w:ascii="Times New Roman" w:eastAsia="Times New Roman" w:hAnsi="Times New Roman" w:cs="Times New Roman"/>
                <w:b/>
                <w:bCs/>
                <w:color w:val="000000"/>
                <w:lang w:val="af-ZA" w:bidi="ar-SA"/>
              </w:rPr>
            </w:pPr>
            <w:r w:rsidRPr="00C73671">
              <w:rPr>
                <w:rFonts w:ascii="Times New Roman" w:eastAsia="Times New Roman" w:hAnsi="Times New Roman" w:cs="Times New Roman"/>
                <w:b/>
                <w:bCs/>
                <w:color w:val="000000"/>
                <w:lang w:val="af-ZA" w:bidi="ar-SA"/>
              </w:rPr>
              <w:t>N</w:t>
            </w:r>
            <w:r w:rsidRPr="00C73671">
              <w:rPr>
                <w:rFonts w:ascii="Times New Roman" w:eastAsia="Times New Roman" w:hAnsi="Times New Roman" w:cs="Times New Roman"/>
                <w:b/>
                <w:bCs/>
                <w:color w:val="000000"/>
                <w:vertAlign w:val="superscript"/>
                <w:lang w:val="af-ZA" w:bidi="ar-SA"/>
              </w:rPr>
              <w:t>o</w:t>
            </w:r>
          </w:p>
        </w:tc>
        <w:tc>
          <w:tcPr>
            <w:tcW w:w="3441" w:type="dxa"/>
            <w:tcBorders>
              <w:top w:val="single" w:sz="4" w:space="0" w:color="auto"/>
              <w:left w:val="nil"/>
              <w:bottom w:val="single" w:sz="4" w:space="0" w:color="auto"/>
              <w:right w:val="single" w:sz="4" w:space="0" w:color="auto"/>
            </w:tcBorders>
            <w:shd w:val="clear" w:color="000000" w:fill="F8CBAD"/>
            <w:noWrap/>
            <w:vAlign w:val="center"/>
            <w:hideMark/>
          </w:tcPr>
          <w:p w:rsidR="00C73671" w:rsidRPr="00C73671" w:rsidRDefault="00C73671" w:rsidP="00C73671">
            <w:pPr>
              <w:spacing w:before="0" w:after="0" w:line="240" w:lineRule="auto"/>
              <w:jc w:val="center"/>
              <w:rPr>
                <w:rFonts w:ascii="Times New Roman" w:eastAsia="Times New Roman" w:hAnsi="Times New Roman" w:cs="Times New Roman"/>
                <w:b/>
                <w:bCs/>
                <w:color w:val="000000"/>
                <w:lang w:val="af-ZA" w:bidi="ar-SA"/>
              </w:rPr>
            </w:pPr>
            <w:r w:rsidRPr="00C73671">
              <w:rPr>
                <w:rFonts w:ascii="Times New Roman" w:eastAsia="Times New Roman" w:hAnsi="Times New Roman" w:cs="Times New Roman"/>
                <w:b/>
                <w:bCs/>
                <w:color w:val="000000"/>
                <w:lang w:val="af-ZA" w:bidi="ar-SA"/>
              </w:rPr>
              <w:t>Nom du Produit</w:t>
            </w:r>
          </w:p>
        </w:tc>
        <w:tc>
          <w:tcPr>
            <w:tcW w:w="907" w:type="dxa"/>
            <w:tcBorders>
              <w:top w:val="single" w:sz="4" w:space="0" w:color="auto"/>
              <w:left w:val="nil"/>
              <w:bottom w:val="single" w:sz="4" w:space="0" w:color="auto"/>
              <w:right w:val="single" w:sz="4" w:space="0" w:color="auto"/>
            </w:tcBorders>
            <w:shd w:val="clear" w:color="000000" w:fill="F8CBAD"/>
            <w:noWrap/>
            <w:vAlign w:val="center"/>
            <w:hideMark/>
          </w:tcPr>
          <w:p w:rsidR="00C73671" w:rsidRPr="00C73671" w:rsidRDefault="00C73671" w:rsidP="00C73671">
            <w:pPr>
              <w:spacing w:before="0" w:after="0" w:line="240" w:lineRule="auto"/>
              <w:jc w:val="center"/>
              <w:rPr>
                <w:rFonts w:ascii="Times New Roman" w:eastAsia="Times New Roman" w:hAnsi="Times New Roman" w:cs="Times New Roman"/>
                <w:b/>
                <w:bCs/>
                <w:color w:val="000000"/>
                <w:lang w:val="af-ZA" w:bidi="ar-SA"/>
              </w:rPr>
            </w:pPr>
            <w:r w:rsidRPr="00C73671">
              <w:rPr>
                <w:rFonts w:ascii="Times New Roman" w:eastAsia="Times New Roman" w:hAnsi="Times New Roman" w:cs="Times New Roman"/>
                <w:b/>
                <w:bCs/>
                <w:color w:val="000000"/>
                <w:lang w:val="af-ZA" w:bidi="ar-SA"/>
              </w:rPr>
              <w:t>Quantité</w:t>
            </w:r>
          </w:p>
        </w:tc>
        <w:tc>
          <w:tcPr>
            <w:tcW w:w="848" w:type="dxa"/>
            <w:tcBorders>
              <w:top w:val="single" w:sz="4" w:space="0" w:color="auto"/>
              <w:left w:val="nil"/>
              <w:bottom w:val="single" w:sz="4" w:space="0" w:color="auto"/>
              <w:right w:val="single" w:sz="4" w:space="0" w:color="auto"/>
            </w:tcBorders>
            <w:shd w:val="clear" w:color="000000" w:fill="F8CBAD"/>
            <w:noWrap/>
            <w:vAlign w:val="center"/>
            <w:hideMark/>
          </w:tcPr>
          <w:p w:rsidR="00C73671" w:rsidRPr="00C73671" w:rsidRDefault="00C73671" w:rsidP="00C73671">
            <w:pPr>
              <w:spacing w:before="0" w:after="0" w:line="240" w:lineRule="auto"/>
              <w:jc w:val="center"/>
              <w:rPr>
                <w:rFonts w:ascii="Times New Roman" w:eastAsia="Times New Roman" w:hAnsi="Times New Roman" w:cs="Times New Roman"/>
                <w:b/>
                <w:bCs/>
                <w:color w:val="000000"/>
                <w:lang w:val="af-ZA" w:bidi="ar-SA"/>
              </w:rPr>
            </w:pPr>
            <w:r w:rsidRPr="00C73671">
              <w:rPr>
                <w:rFonts w:ascii="Times New Roman" w:eastAsia="Times New Roman" w:hAnsi="Times New Roman" w:cs="Times New Roman"/>
                <w:b/>
                <w:bCs/>
                <w:color w:val="000000"/>
                <w:lang w:val="af-ZA" w:bidi="ar-SA"/>
              </w:rPr>
              <w:t>Unité</w:t>
            </w:r>
          </w:p>
        </w:tc>
        <w:tc>
          <w:tcPr>
            <w:tcW w:w="1558" w:type="dxa"/>
            <w:tcBorders>
              <w:top w:val="single" w:sz="4" w:space="0" w:color="auto"/>
              <w:left w:val="nil"/>
              <w:bottom w:val="single" w:sz="4" w:space="0" w:color="auto"/>
              <w:right w:val="single" w:sz="4" w:space="0" w:color="auto"/>
            </w:tcBorders>
            <w:shd w:val="clear" w:color="000000" w:fill="F8CBAD"/>
            <w:noWrap/>
            <w:vAlign w:val="center"/>
            <w:hideMark/>
          </w:tcPr>
          <w:p w:rsidR="00C73671" w:rsidRPr="00C73671" w:rsidRDefault="00C73671" w:rsidP="00C73671">
            <w:pPr>
              <w:spacing w:before="0" w:after="0" w:line="240" w:lineRule="auto"/>
              <w:jc w:val="center"/>
              <w:rPr>
                <w:rFonts w:ascii="Times New Roman" w:eastAsia="Times New Roman" w:hAnsi="Times New Roman" w:cs="Times New Roman"/>
                <w:b/>
                <w:bCs/>
                <w:color w:val="000000"/>
                <w:lang w:val="af-ZA" w:bidi="ar-SA"/>
              </w:rPr>
            </w:pPr>
            <w:r w:rsidRPr="00C73671">
              <w:rPr>
                <w:rFonts w:ascii="Times New Roman" w:eastAsia="Times New Roman" w:hAnsi="Times New Roman" w:cs="Times New Roman"/>
                <w:b/>
                <w:bCs/>
                <w:color w:val="000000"/>
                <w:lang w:val="af-ZA" w:bidi="ar-SA"/>
              </w:rPr>
              <w:t>Prix du mois de décembre 2022 en fbu</w:t>
            </w:r>
          </w:p>
        </w:tc>
        <w:tc>
          <w:tcPr>
            <w:tcW w:w="1459" w:type="dxa"/>
            <w:tcBorders>
              <w:top w:val="single" w:sz="4" w:space="0" w:color="auto"/>
              <w:left w:val="nil"/>
              <w:bottom w:val="single" w:sz="4" w:space="0" w:color="auto"/>
              <w:right w:val="single" w:sz="4" w:space="0" w:color="auto"/>
            </w:tcBorders>
            <w:shd w:val="clear" w:color="000000" w:fill="F8CBAD"/>
            <w:noWrap/>
            <w:vAlign w:val="center"/>
            <w:hideMark/>
          </w:tcPr>
          <w:p w:rsidR="00C73671" w:rsidRPr="00C73671" w:rsidRDefault="00C73671" w:rsidP="00C73671">
            <w:pPr>
              <w:spacing w:before="0" w:after="0" w:line="240" w:lineRule="auto"/>
              <w:jc w:val="center"/>
              <w:rPr>
                <w:rFonts w:ascii="Times New Roman" w:eastAsia="Times New Roman" w:hAnsi="Times New Roman" w:cs="Times New Roman"/>
                <w:b/>
                <w:bCs/>
                <w:color w:val="000000"/>
                <w:lang w:val="af-ZA" w:bidi="ar-SA"/>
              </w:rPr>
            </w:pPr>
            <w:r w:rsidRPr="00C73671">
              <w:rPr>
                <w:rFonts w:ascii="Times New Roman" w:eastAsia="Times New Roman" w:hAnsi="Times New Roman" w:cs="Times New Roman"/>
                <w:b/>
                <w:bCs/>
                <w:color w:val="000000"/>
                <w:lang w:val="af-ZA" w:bidi="ar-SA"/>
              </w:rPr>
              <w:t>Prix du mois de janvier  2023 en fbu</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Blé</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1764</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1857</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Maïs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1948</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1855</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Riz paddy</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1772</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1863</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Sorgho à graines rouges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1843</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1921</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Sorgho à graines blanches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1700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1700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Eleusine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1840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1889</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7</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Pomme de terre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954</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880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Manioc doux</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668</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664</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Manioc amer</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642</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658</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Colocase (amateke y'Ikizungu)</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969</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951</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Patates douces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483</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515</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12</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Haricots jaune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2773</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2988</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13</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Haricots rouge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2179</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2470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14</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Haricots mélangé (kirundo)</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2154</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2366</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15</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Petit pois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3612</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4038</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16</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Niébé</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 </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2500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lastRenderedPageBreak/>
              <w:t>17</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Pois cajan</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2763</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2813</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18</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Arachides( coques ou décortiqué)</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4105</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5081</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19</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Soja</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2245</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2350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20</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Tournesol</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1000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1000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21</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Amarantes (lenga lenga)</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534</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499</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22</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Ognons rouges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1461</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1569</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23</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Ognons blancs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1578</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1665</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24</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Aubergine violette (Viringanya)</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547</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538</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25</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Aubergine Amer ( z'Ikirundi)</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724</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659</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26</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Tomate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1071</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1063</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27</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Choux pommé</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360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310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28</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Poireau</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1120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1174</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29</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Poivron</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1300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1184</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30</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Carotte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1054</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1075</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31</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Epinard</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525</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532</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32</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Café cérise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800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800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33</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Thé(feuille verte)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280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280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34</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coton graine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550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550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35</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Canne à sucre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Tonne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10000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10000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36</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Banane à cuire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665</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684</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37</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Banane à vin</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490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510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38</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Bananes à fruits longues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506</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511</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39</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Bananes à fruits courtes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866</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910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40</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Ananas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530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514</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41</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Oranges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2172</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1588</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42</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Mandarines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2262</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1687</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43</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Citrons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801</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866</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44</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Maracouja</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1240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1259</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45</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Avocats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617</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642</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46</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Mangues de grande taille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827</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906</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47</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Mangue de petite taille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419</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440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48</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Prune du Japon</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1999</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1970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49</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Taureau sur pied race locale (4 à 5 ans)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Tête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1346567</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1286684</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50</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Vache sur pied (4 à 5 ans)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Tête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1138824</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1100227</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51</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Mouton sur pied (3 à 5 ans)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Tête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99623</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97463</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lastRenderedPageBreak/>
              <w:t>52</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Chèvre locale sur pied (3 à 5 ans)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Tête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111814</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110786</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53</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Porcins sur pied (1 à 2 ans)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Tête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258538</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246241</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54</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Lapin</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Tête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9796</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9638</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55</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Poules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10713</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10579</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56</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Canards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8649</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8391</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57</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Cobayes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Tête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1176</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1239</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58</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Lait de vache brut</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Littre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914</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923</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59</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Œufs</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unité</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457</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458</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60</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Miel</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Kg</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7813</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7655</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61</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Grumes (bois d'œuvre)( Planche)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Pièce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3729</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3674</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62</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Bois de chauffe</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Stère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11667</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10569</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63</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 xml:space="preserve">Charbon de bois </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Sac</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16273</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16273</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64</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Ndagala</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Caisse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833333</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871667</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65</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Nyamunyamu</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Caisse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722667</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720000</w:t>
            </w:r>
          </w:p>
        </w:tc>
      </w:tr>
      <w:tr w:rsidR="00C73671" w:rsidRPr="00C73671" w:rsidTr="00C73671">
        <w:trPr>
          <w:trHeight w:val="300"/>
        </w:trPr>
        <w:tc>
          <w:tcPr>
            <w:tcW w:w="1183" w:type="dxa"/>
            <w:tcBorders>
              <w:top w:val="nil"/>
              <w:left w:val="single" w:sz="4" w:space="0" w:color="auto"/>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66</w:t>
            </w:r>
          </w:p>
        </w:tc>
        <w:tc>
          <w:tcPr>
            <w:tcW w:w="3441"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Kahuzo</w:t>
            </w:r>
          </w:p>
        </w:tc>
        <w:tc>
          <w:tcPr>
            <w:tcW w:w="907"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1</w:t>
            </w:r>
          </w:p>
        </w:tc>
        <w:tc>
          <w:tcPr>
            <w:tcW w:w="84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Caisse</w:t>
            </w:r>
          </w:p>
        </w:tc>
        <w:tc>
          <w:tcPr>
            <w:tcW w:w="1558"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482500</w:t>
            </w:r>
          </w:p>
        </w:tc>
        <w:tc>
          <w:tcPr>
            <w:tcW w:w="1459" w:type="dxa"/>
            <w:tcBorders>
              <w:top w:val="nil"/>
              <w:left w:val="nil"/>
              <w:bottom w:val="single" w:sz="4" w:space="0" w:color="auto"/>
              <w:right w:val="single" w:sz="4" w:space="0" w:color="auto"/>
            </w:tcBorders>
            <w:shd w:val="clear" w:color="auto" w:fill="auto"/>
            <w:noWrap/>
            <w:vAlign w:val="bottom"/>
            <w:hideMark/>
          </w:tcPr>
          <w:p w:rsidR="00C73671" w:rsidRPr="00C73671" w:rsidRDefault="00C73671" w:rsidP="00C73671">
            <w:pPr>
              <w:spacing w:before="0" w:after="0" w:line="240" w:lineRule="auto"/>
              <w:jc w:val="right"/>
              <w:rPr>
                <w:rFonts w:ascii="Times New Roman" w:eastAsia="Times New Roman" w:hAnsi="Times New Roman" w:cs="Times New Roman"/>
                <w:color w:val="000000"/>
                <w:lang w:val="af-ZA" w:bidi="ar-SA"/>
              </w:rPr>
            </w:pPr>
            <w:r w:rsidRPr="00C73671">
              <w:rPr>
                <w:rFonts w:ascii="Times New Roman" w:eastAsia="Times New Roman" w:hAnsi="Times New Roman" w:cs="Times New Roman"/>
                <w:color w:val="000000"/>
                <w:lang w:val="af-ZA" w:bidi="ar-SA"/>
              </w:rPr>
              <w:t>490000</w:t>
            </w:r>
          </w:p>
        </w:tc>
      </w:tr>
    </w:tbl>
    <w:p w:rsidR="00B34192" w:rsidRDefault="00B34192" w:rsidP="00B34192">
      <w:pPr>
        <w:autoSpaceDE w:val="0"/>
        <w:autoSpaceDN w:val="0"/>
        <w:adjustRightInd w:val="0"/>
        <w:spacing w:before="0" w:after="0"/>
        <w:jc w:val="both"/>
        <w:rPr>
          <w:rFonts w:ascii="Tahoma" w:hAnsi="Tahoma" w:cs="Tahoma"/>
          <w:b/>
          <w:sz w:val="22"/>
          <w:szCs w:val="22"/>
          <w:lang w:val="af-ZA"/>
        </w:rPr>
      </w:pPr>
    </w:p>
    <w:p w:rsidR="00B34192" w:rsidRPr="00C73671" w:rsidRDefault="00B34192" w:rsidP="00B34192">
      <w:pPr>
        <w:autoSpaceDE w:val="0"/>
        <w:autoSpaceDN w:val="0"/>
        <w:adjustRightInd w:val="0"/>
        <w:spacing w:before="0" w:after="0"/>
        <w:jc w:val="both"/>
        <w:rPr>
          <w:rFonts w:ascii="Times New Roman" w:hAnsi="Times New Roman" w:cs="Times New Roman"/>
          <w:b/>
          <w:bCs/>
          <w:sz w:val="24"/>
          <w:szCs w:val="24"/>
          <w:lang w:val="af-ZA" w:bidi="ar-SA"/>
        </w:rPr>
      </w:pPr>
      <w:r w:rsidRPr="00C73671">
        <w:rPr>
          <w:rFonts w:ascii="Times New Roman" w:hAnsi="Times New Roman" w:cs="Times New Roman"/>
          <w:b/>
          <w:bCs/>
          <w:sz w:val="24"/>
          <w:szCs w:val="24"/>
          <w:lang w:val="af-ZA" w:bidi="ar-SA"/>
        </w:rPr>
        <w:t>Annexe 4 : Note méthodologique</w:t>
      </w:r>
    </w:p>
    <w:p w:rsidR="00B34192" w:rsidRPr="00C73671" w:rsidRDefault="00B34192" w:rsidP="00B34192">
      <w:pPr>
        <w:autoSpaceDE w:val="0"/>
        <w:autoSpaceDN w:val="0"/>
        <w:adjustRightInd w:val="0"/>
        <w:spacing w:before="0" w:after="0"/>
        <w:jc w:val="both"/>
        <w:rPr>
          <w:rFonts w:ascii="Times New Roman" w:hAnsi="Times New Roman" w:cs="Times New Roman"/>
          <w:b/>
          <w:bCs/>
          <w:sz w:val="24"/>
          <w:szCs w:val="24"/>
          <w:lang w:val="en-US" w:bidi="ar-SA"/>
        </w:rPr>
      </w:pPr>
    </w:p>
    <w:p w:rsidR="00B34192" w:rsidRPr="00C73671" w:rsidRDefault="00B34192" w:rsidP="00B34192">
      <w:pPr>
        <w:pStyle w:val="Paragraphedeliste"/>
        <w:numPr>
          <w:ilvl w:val="0"/>
          <w:numId w:val="1"/>
        </w:numPr>
        <w:autoSpaceDE w:val="0"/>
        <w:autoSpaceDN w:val="0"/>
        <w:adjustRightInd w:val="0"/>
        <w:spacing w:before="0" w:after="0"/>
        <w:jc w:val="both"/>
        <w:rPr>
          <w:rFonts w:ascii="Times New Roman" w:hAnsi="Times New Roman" w:cs="Times New Roman"/>
          <w:b/>
          <w:bCs/>
          <w:sz w:val="24"/>
          <w:szCs w:val="24"/>
          <w:lang w:val="af-ZA" w:bidi="ar-SA"/>
        </w:rPr>
      </w:pPr>
      <w:r w:rsidRPr="00C73671">
        <w:rPr>
          <w:rFonts w:ascii="Times New Roman" w:hAnsi="Times New Roman" w:cs="Times New Roman"/>
          <w:b/>
          <w:bCs/>
          <w:sz w:val="24"/>
          <w:szCs w:val="24"/>
          <w:lang w:val="af-ZA" w:bidi="ar-SA"/>
        </w:rPr>
        <w:t>Définition et couverture</w:t>
      </w:r>
    </w:p>
    <w:p w:rsidR="00B34192" w:rsidRPr="00C73671" w:rsidRDefault="00B34192" w:rsidP="00B34192">
      <w:pPr>
        <w:autoSpaceDE w:val="0"/>
        <w:autoSpaceDN w:val="0"/>
        <w:adjustRightInd w:val="0"/>
        <w:spacing w:before="0" w:after="0"/>
        <w:jc w:val="both"/>
        <w:rPr>
          <w:rFonts w:ascii="Times New Roman" w:hAnsi="Times New Roman" w:cs="Times New Roman"/>
          <w:b/>
          <w:bCs/>
          <w:sz w:val="24"/>
          <w:szCs w:val="24"/>
          <w:lang w:val="en-US" w:bidi="ar-SA"/>
        </w:rPr>
      </w:pP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L’Institut National de la Statistiques du Burundi (INSBU) met à la disposition du public, un indicateur de mesure de l’inflation des produits de l’agriculture ; de l’élevage et de la pêche.</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Dénommé « Indice des prix à la Production agricole ». Il comprend les céréales ; les tubercules et racines ; les légumineuses ; les plantes oléagineuses ; les cultures industrielles ; les légumes frais ; la banane ; les fruits frais, les bovins, les ovins et caprins ; les porcins ; les produits d’élevages et volailles, les sous-produits de l’élevage ; les produits de la sylviculture et de l’exploitation forestière ainsi que les produits de la pêche (coutumière et artisanale).</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L’Indice des Prix à la Production Agricole au Burundi (IPPAB) vise à mesurer l’évolution, dans le temps, des prix reçus par les agriculteurs-éleveurs par rapport à la situation de référence. Il ne donne pas le niveau des prix entre deux périodes, mais s’intéresse à comment les prix pratiqués ou reçus par les producteurs augmentent ou diminuent dans le temps. </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En d’autres termes, il prédit ce que seront les prix à la consommation. L'observation des prix intervient à la première mise en marché, en principe à la sortie des exploitations agricoles. C’est </w:t>
      </w:r>
      <w:r w:rsidRPr="00C73671">
        <w:rPr>
          <w:rFonts w:ascii="Times New Roman" w:hAnsi="Times New Roman" w:cs="Times New Roman"/>
          <w:sz w:val="24"/>
          <w:szCs w:val="24"/>
          <w:lang w:bidi="ar-SA"/>
        </w:rPr>
        <w:lastRenderedPageBreak/>
        <w:t xml:space="preserve">un prix au premier stade de la production, à la différence des prix à la consommation. Il faut exclure, dans la mesure du possible, les marges des intermédiaires, taxes et subventions, les coûts de transport et les coûts de stockage. </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Cet IPPAB est utilisé par les systèmes statistiques, les autorités nationales et locales, les partenaires au développement, les agents économiques publics et privés, les chercheurs etc. Il est établi à l'aide des données sur les prix exprimés en francs Burundais. La couverture de l’indice des prix à la production est l’ensemble du territoire national sauf la Mairie de Bujumbura. </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ind w:right="-590"/>
        <w:jc w:val="both"/>
        <w:rPr>
          <w:rFonts w:ascii="Times New Roman" w:hAnsi="Times New Roman" w:cs="Times New Roman"/>
          <w:b/>
          <w:sz w:val="24"/>
          <w:szCs w:val="24"/>
          <w:lang w:bidi="ar-SA"/>
        </w:rPr>
      </w:pPr>
      <w:r w:rsidRPr="00C73671">
        <w:rPr>
          <w:rFonts w:ascii="Times New Roman" w:hAnsi="Times New Roman" w:cs="Times New Roman"/>
          <w:b/>
          <w:sz w:val="24"/>
          <w:szCs w:val="24"/>
          <w:lang w:bidi="ar-SA"/>
        </w:rPr>
        <w:t>2. Pondération</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L’année de base est de 2018 avec des coefficients de pondération qui ont été calculés à l’aide des structures des comptes nationaux de 2014. </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ind w:right="-590"/>
        <w:jc w:val="both"/>
        <w:rPr>
          <w:rFonts w:ascii="Times New Roman" w:hAnsi="Times New Roman" w:cs="Times New Roman"/>
          <w:b/>
          <w:sz w:val="24"/>
          <w:szCs w:val="24"/>
          <w:lang w:bidi="ar-SA"/>
        </w:rPr>
      </w:pPr>
      <w:r w:rsidRPr="00C73671">
        <w:rPr>
          <w:rFonts w:ascii="Times New Roman" w:hAnsi="Times New Roman" w:cs="Times New Roman"/>
          <w:b/>
          <w:sz w:val="24"/>
          <w:szCs w:val="24"/>
          <w:lang w:bidi="ar-SA"/>
        </w:rPr>
        <w:t>3. Méthodologie</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Les relevés des prix sont effectués chaque mois par les enquêteurs permanents de l’Institut National de la Statistique du Burundi.  Le prix moyen converti du produit est retenu comme une valeur utilisée lors du calcul de l’indice.</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L'indice des prix à la production des produits agricoles et les indices des groupes de produits agricoles sont calculés à l'aide de la formule de </w:t>
      </w:r>
      <w:proofErr w:type="spellStart"/>
      <w:r w:rsidRPr="00C73671">
        <w:rPr>
          <w:rFonts w:ascii="Times New Roman" w:hAnsi="Times New Roman" w:cs="Times New Roman"/>
          <w:sz w:val="24"/>
          <w:szCs w:val="24"/>
          <w:lang w:bidi="ar-SA"/>
        </w:rPr>
        <w:t>Laspeyres</w:t>
      </w:r>
      <w:proofErr w:type="spellEnd"/>
      <w:r w:rsidRPr="00C73671">
        <w:rPr>
          <w:rFonts w:ascii="Times New Roman" w:hAnsi="Times New Roman" w:cs="Times New Roman"/>
          <w:sz w:val="24"/>
          <w:szCs w:val="24"/>
          <w:lang w:bidi="ar-SA"/>
        </w:rPr>
        <w:t>. L’indice, pour un certain groupe de produits et pour une année donnée, est, par conséquent, calculé comme la valeur à prix courant des produits appartenant au groupe, divisé par la valeur au prix de la période de base du même panier de produits. Les Indices des prix des produits individuels sont calculés en divisant les prix en monnaie locale au cours d'une année donnée par les prix en monnaie locale au cours de la période de base.</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La publication est mensuelle.</w:t>
      </w:r>
    </w:p>
    <w:p w:rsidR="00B34192" w:rsidRPr="00C73671" w:rsidRDefault="00B34192" w:rsidP="00B34192">
      <w:pPr>
        <w:autoSpaceDE w:val="0"/>
        <w:autoSpaceDN w:val="0"/>
        <w:adjustRightInd w:val="0"/>
        <w:spacing w:before="0" w:after="0"/>
        <w:ind w:right="-590"/>
        <w:jc w:val="both"/>
        <w:rPr>
          <w:rFonts w:ascii="Times New Roman" w:hAnsi="Times New Roman" w:cs="Times New Roman"/>
          <w:sz w:val="24"/>
          <w:szCs w:val="24"/>
          <w:lang w:bidi="ar-SA"/>
        </w:rPr>
      </w:pPr>
    </w:p>
    <w:p w:rsidR="00B34192" w:rsidRPr="00C73671" w:rsidRDefault="00B34192" w:rsidP="00B34192">
      <w:pPr>
        <w:rPr>
          <w:rFonts w:ascii="Times New Roman" w:hAnsi="Times New Roman" w:cs="Times New Roman"/>
        </w:rPr>
      </w:pPr>
      <w:r w:rsidRPr="00C73671">
        <w:rPr>
          <w:rFonts w:ascii="Times New Roman" w:hAnsi="Times New Roman" w:cs="Times New Roman"/>
          <w:sz w:val="24"/>
          <w:szCs w:val="24"/>
          <w:lang w:bidi="ar-SA"/>
        </w:rPr>
        <w:t>Des compléments méthodologiques sont disponibles à l’INSBU, au niveau du service en charge de la production de l’IPPAB</w:t>
      </w:r>
    </w:p>
    <w:p w:rsidR="00B34192" w:rsidRDefault="00B34192" w:rsidP="00B34192"/>
    <w:p w:rsidR="005E690F" w:rsidRDefault="005E690F"/>
    <w:sectPr w:rsidR="005E690F" w:rsidSect="00A96F06">
      <w:pgSz w:w="12240" w:h="15840"/>
      <w:pgMar w:top="1440" w:right="2034"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6CB" w:rsidRDefault="009A76CB">
      <w:pPr>
        <w:spacing w:before="0" w:after="0" w:line="240" w:lineRule="auto"/>
      </w:pPr>
      <w:r>
        <w:separator/>
      </w:r>
    </w:p>
  </w:endnote>
  <w:endnote w:type="continuationSeparator" w:id="0">
    <w:p w:rsidR="009A76CB" w:rsidRDefault="009A76C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13" w:type="pct"/>
      <w:tblBorders>
        <w:top w:val="single" w:sz="18" w:space="0" w:color="808080"/>
        <w:insideV w:val="single" w:sz="18" w:space="0" w:color="808080"/>
      </w:tblBorders>
      <w:tblLook w:val="04A0" w:firstRow="1" w:lastRow="0" w:firstColumn="1" w:lastColumn="0" w:noHBand="0" w:noVBand="1"/>
    </w:tblPr>
    <w:tblGrid>
      <w:gridCol w:w="8843"/>
    </w:tblGrid>
    <w:tr w:rsidR="00C73671" w:rsidRPr="00971FB4" w:rsidTr="00A96F06">
      <w:tc>
        <w:tcPr>
          <w:tcW w:w="12419" w:type="dxa"/>
        </w:tcPr>
        <w:tbl>
          <w:tblPr>
            <w:tblW w:w="5000" w:type="pct"/>
            <w:tblBorders>
              <w:top w:val="single" w:sz="18" w:space="0" w:color="808080"/>
              <w:insideV w:val="single" w:sz="18" w:space="0" w:color="808080"/>
            </w:tblBorders>
            <w:tblLook w:val="04A0" w:firstRow="1" w:lastRow="0" w:firstColumn="1" w:lastColumn="0" w:noHBand="0" w:noVBand="1"/>
          </w:tblPr>
          <w:tblGrid>
            <w:gridCol w:w="897"/>
            <w:gridCol w:w="7730"/>
          </w:tblGrid>
          <w:tr w:rsidR="00C73671" w:rsidRPr="00745880" w:rsidTr="00A96F06">
            <w:tc>
              <w:tcPr>
                <w:tcW w:w="918" w:type="dxa"/>
              </w:tcPr>
              <w:p w:rsidR="00C73671" w:rsidRDefault="00C73671" w:rsidP="00A96F06">
                <w:pPr>
                  <w:pStyle w:val="Pieddepage"/>
                  <w:jc w:val="right"/>
                  <w:rPr>
                    <w:b/>
                    <w:color w:val="4F81BD"/>
                    <w:sz w:val="32"/>
                    <w:szCs w:val="32"/>
                  </w:rPr>
                </w:pPr>
                <w:r>
                  <w:fldChar w:fldCharType="begin"/>
                </w:r>
                <w:r>
                  <w:instrText xml:space="preserve"> PAGE   \* MERGEFORMAT </w:instrText>
                </w:r>
                <w:r>
                  <w:fldChar w:fldCharType="separate"/>
                </w:r>
                <w:r w:rsidR="00694995" w:rsidRPr="00694995">
                  <w:rPr>
                    <w:b/>
                    <w:noProof/>
                    <w:color w:val="4F81BD"/>
                    <w:sz w:val="32"/>
                    <w:szCs w:val="32"/>
                  </w:rPr>
                  <w:t>2</w:t>
                </w:r>
                <w:r>
                  <w:rPr>
                    <w:b/>
                    <w:noProof/>
                    <w:color w:val="4F81BD"/>
                    <w:sz w:val="32"/>
                    <w:szCs w:val="32"/>
                  </w:rPr>
                  <w:fldChar w:fldCharType="end"/>
                </w:r>
              </w:p>
            </w:tc>
            <w:tc>
              <w:tcPr>
                <w:tcW w:w="7938" w:type="dxa"/>
              </w:tcPr>
              <w:p w:rsidR="00C73671" w:rsidRPr="00B311D2" w:rsidRDefault="00C73671" w:rsidP="00A96F06">
                <w:pPr>
                  <w:pStyle w:val="Pieddepage"/>
                  <w:pBdr>
                    <w:top w:val="thinThickSmallGap" w:sz="24" w:space="1" w:color="622423"/>
                  </w:pBdr>
                  <w:rPr>
                    <w:rFonts w:ascii="Arial Narrow" w:hAnsi="Arial Narrow"/>
                    <w:b/>
                  </w:rPr>
                </w:pPr>
                <w:r>
                  <w:rPr>
                    <w:rFonts w:ascii="Arial Narrow" w:hAnsi="Arial Narrow"/>
                    <w:b/>
                  </w:rPr>
                  <w:t>INSBU</w:t>
                </w:r>
                <w:r w:rsidRPr="00B311D2">
                  <w:rPr>
                    <w:rFonts w:ascii="Arial Narrow" w:hAnsi="Arial Narrow"/>
                    <w:b/>
                  </w:rPr>
                  <w:t>, Zone ROHERO, Quartier INSS, Avenue de l’Aviation, N°06, B.P. 1156 BUJUMBURA</w:t>
                </w:r>
              </w:p>
              <w:p w:rsidR="00C73671" w:rsidRDefault="00C73671" w:rsidP="00A96F06">
                <w:pPr>
                  <w:pStyle w:val="Pieddepage"/>
                  <w:pBdr>
                    <w:top w:val="thinThickSmallGap" w:sz="24" w:space="1" w:color="622423"/>
                  </w:pBdr>
                  <w:rPr>
                    <w:rFonts w:ascii="Arial Narrow" w:hAnsi="Arial Narrow"/>
                    <w:b/>
                  </w:rPr>
                </w:pPr>
                <w:r w:rsidRPr="00B311D2">
                  <w:rPr>
                    <w:rFonts w:ascii="Arial Narrow" w:hAnsi="Arial Narrow"/>
                    <w:b/>
                  </w:rPr>
                  <w:t>Tél : (+257) 22 222149/ 22 226729, 22226734/35, FAX :(+257) 22 222635,</w:t>
                </w:r>
              </w:p>
              <w:p w:rsidR="00C73671" w:rsidRPr="00694995" w:rsidRDefault="00C73671" w:rsidP="00A96F06">
                <w:pPr>
                  <w:pStyle w:val="Pieddepage"/>
                  <w:pBdr>
                    <w:top w:val="thinThickSmallGap" w:sz="24" w:space="1" w:color="622423"/>
                  </w:pBdr>
                  <w:rPr>
                    <w:rFonts w:ascii="Arial Narrow" w:hAnsi="Arial Narrow"/>
                    <w:b/>
                    <w:lang w:val="en-US"/>
                  </w:rPr>
                </w:pPr>
                <w:r w:rsidRPr="00694995">
                  <w:rPr>
                    <w:rFonts w:ascii="Arial Narrow" w:hAnsi="Arial Narrow"/>
                    <w:b/>
                    <w:lang w:val="en-US"/>
                  </w:rPr>
                  <w:t>E-mail :</w:t>
                </w:r>
                <w:r w:rsidR="00694995" w:rsidRPr="00694995">
                  <w:rPr>
                    <w:rStyle w:val="Lienhypertexte"/>
                    <w:b/>
                    <w:lang w:val="en-US"/>
                  </w:rPr>
                  <w:t>ins.burundi@insbu.bi;</w:t>
                </w:r>
                <w:r w:rsidRPr="00694995">
                  <w:rPr>
                    <w:rFonts w:ascii="Arial Narrow" w:hAnsi="Arial Narrow"/>
                    <w:b/>
                    <w:lang w:val="en-US"/>
                  </w:rPr>
                  <w:t xml:space="preserve"> </w:t>
                </w:r>
                <w:hyperlink r:id="rId1" w:history="1">
                  <w:r w:rsidRPr="00694995">
                    <w:rPr>
                      <w:rStyle w:val="Lienhypertexte"/>
                      <w:rFonts w:ascii="Arial Narrow" w:hAnsi="Arial Narrow"/>
                      <w:b/>
                      <w:lang w:val="en-US"/>
                    </w:rPr>
                    <w:t>isteebu@isteebu.bi</w:t>
                  </w:r>
                </w:hyperlink>
                <w:r w:rsidRPr="00694995">
                  <w:rPr>
                    <w:rFonts w:ascii="Arial Narrow" w:hAnsi="Arial Narrow"/>
                    <w:b/>
                    <w:lang w:val="en-US"/>
                  </w:rPr>
                  <w:t xml:space="preserve">, Site Web : </w:t>
                </w:r>
                <w:hyperlink r:id="rId2" w:history="1">
                  <w:r w:rsidRPr="00694995">
                    <w:rPr>
                      <w:rStyle w:val="Lienhypertexte"/>
                      <w:rFonts w:ascii="Arial Narrow" w:hAnsi="Arial Narrow"/>
                      <w:b/>
                      <w:lang w:val="en-US"/>
                    </w:rPr>
                    <w:t>www.isteebu.bi</w:t>
                  </w:r>
                </w:hyperlink>
                <w:r w:rsidR="00694995">
                  <w:rPr>
                    <w:rFonts w:ascii="Arial Narrow" w:hAnsi="Arial Narrow"/>
                    <w:b/>
                    <w:lang w:val="en-US"/>
                  </w:rPr>
                  <w:t xml:space="preserve"> ,Twitter : @INSBURUNDI</w:t>
                </w:r>
              </w:p>
              <w:p w:rsidR="00C73671" w:rsidRPr="00127421" w:rsidRDefault="00C73671" w:rsidP="00A96F06">
                <w:pPr>
                  <w:widowControl w:val="0"/>
                  <w:spacing w:before="0" w:after="0" w:line="240" w:lineRule="auto"/>
                  <w:jc w:val="center"/>
                  <w:rPr>
                    <w:rFonts w:ascii="Tahoma" w:hAnsi="Tahoma" w:cs="Tahoma"/>
                    <w:b/>
                    <w:color w:val="0000FF"/>
                    <w:sz w:val="14"/>
                    <w:szCs w:val="14"/>
                    <w:u w:val="single"/>
                    <w:lang w:val="it-IT"/>
                  </w:rPr>
                </w:pPr>
              </w:p>
              <w:p w:rsidR="00C73671" w:rsidRPr="00745880" w:rsidRDefault="00C73671" w:rsidP="00A96F06">
                <w:pPr>
                  <w:widowControl w:val="0"/>
                  <w:spacing w:before="0" w:after="0" w:line="240" w:lineRule="auto"/>
                  <w:jc w:val="center"/>
                  <w:rPr>
                    <w:lang w:val="it-IT"/>
                  </w:rPr>
                </w:pPr>
                <w:r w:rsidRPr="00B311D2">
                  <w:rPr>
                    <w:rFonts w:ascii="Cambria" w:hAnsi="Cambria"/>
                    <w:b/>
                    <w:i/>
                    <w:sz w:val="24"/>
                    <w:szCs w:val="24"/>
                  </w:rPr>
                  <w:t>Devise : « En</w:t>
                </w:r>
                <w:r>
                  <w:rPr>
                    <w:rFonts w:ascii="Cambria" w:hAnsi="Cambria"/>
                    <w:b/>
                    <w:i/>
                    <w:sz w:val="24"/>
                    <w:szCs w:val="24"/>
                  </w:rPr>
                  <w:t xml:space="preserve"> </w:t>
                </w:r>
                <w:r w:rsidRPr="00B311D2">
                  <w:rPr>
                    <w:rFonts w:ascii="Cambria" w:hAnsi="Cambria"/>
                    <w:b/>
                    <w:i/>
                    <w:sz w:val="24"/>
                    <w:szCs w:val="24"/>
                  </w:rPr>
                  <w:t>marche avec les Statistiques</w:t>
                </w:r>
                <w:r>
                  <w:rPr>
                    <w:rFonts w:ascii="Cambria" w:hAnsi="Cambria"/>
                    <w:b/>
                    <w:i/>
                    <w:sz w:val="24"/>
                    <w:szCs w:val="24"/>
                  </w:rPr>
                  <w:t xml:space="preserve"> </w:t>
                </w:r>
                <w:r w:rsidRPr="00B311D2">
                  <w:rPr>
                    <w:rFonts w:ascii="Cambria" w:hAnsi="Cambria"/>
                    <w:b/>
                    <w:i/>
                    <w:sz w:val="24"/>
                    <w:szCs w:val="24"/>
                  </w:rPr>
                  <w:t>Fiables au Service du Développement »</w:t>
                </w:r>
              </w:p>
            </w:tc>
          </w:tr>
        </w:tbl>
        <w:p w:rsidR="00C73671" w:rsidRPr="00E32C21" w:rsidRDefault="00C73671" w:rsidP="00A96F06">
          <w:pPr>
            <w:spacing w:before="0" w:after="0" w:line="240" w:lineRule="auto"/>
            <w:jc w:val="center"/>
            <w:rPr>
              <w:sz w:val="18"/>
              <w:szCs w:val="18"/>
            </w:rPr>
          </w:pPr>
        </w:p>
      </w:tc>
    </w:tr>
  </w:tbl>
  <w:p w:rsidR="00C73671" w:rsidRPr="00FB45B1" w:rsidRDefault="00C73671" w:rsidP="00A96F0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6CB" w:rsidRDefault="009A76CB">
      <w:pPr>
        <w:spacing w:before="0" w:after="0" w:line="240" w:lineRule="auto"/>
      </w:pPr>
      <w:r>
        <w:separator/>
      </w:r>
    </w:p>
  </w:footnote>
  <w:footnote w:type="continuationSeparator" w:id="0">
    <w:p w:rsidR="009A76CB" w:rsidRDefault="009A76C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70391"/>
    <w:multiLevelType w:val="hybridMultilevel"/>
    <w:tmpl w:val="ED0A1696"/>
    <w:lvl w:ilvl="0" w:tplc="BC1C10B4">
      <w:start w:val="1"/>
      <w:numFmt w:val="bullet"/>
      <w:lvlText w:val="•"/>
      <w:lvlJc w:val="left"/>
      <w:pPr>
        <w:tabs>
          <w:tab w:val="num" w:pos="720"/>
        </w:tabs>
        <w:ind w:left="720" w:hanging="360"/>
      </w:pPr>
      <w:rPr>
        <w:rFonts w:ascii="Times New Roman" w:hAnsi="Times New Roman" w:hint="default"/>
      </w:rPr>
    </w:lvl>
    <w:lvl w:ilvl="1" w:tplc="2A94F3F4" w:tentative="1">
      <w:start w:val="1"/>
      <w:numFmt w:val="bullet"/>
      <w:lvlText w:val="•"/>
      <w:lvlJc w:val="left"/>
      <w:pPr>
        <w:tabs>
          <w:tab w:val="num" w:pos="1440"/>
        </w:tabs>
        <w:ind w:left="1440" w:hanging="360"/>
      </w:pPr>
      <w:rPr>
        <w:rFonts w:ascii="Times New Roman" w:hAnsi="Times New Roman" w:hint="default"/>
      </w:rPr>
    </w:lvl>
    <w:lvl w:ilvl="2" w:tplc="93627F34" w:tentative="1">
      <w:start w:val="1"/>
      <w:numFmt w:val="bullet"/>
      <w:lvlText w:val="•"/>
      <w:lvlJc w:val="left"/>
      <w:pPr>
        <w:tabs>
          <w:tab w:val="num" w:pos="2160"/>
        </w:tabs>
        <w:ind w:left="2160" w:hanging="360"/>
      </w:pPr>
      <w:rPr>
        <w:rFonts w:ascii="Times New Roman" w:hAnsi="Times New Roman" w:hint="default"/>
      </w:rPr>
    </w:lvl>
    <w:lvl w:ilvl="3" w:tplc="78780D1C" w:tentative="1">
      <w:start w:val="1"/>
      <w:numFmt w:val="bullet"/>
      <w:lvlText w:val="•"/>
      <w:lvlJc w:val="left"/>
      <w:pPr>
        <w:tabs>
          <w:tab w:val="num" w:pos="2880"/>
        </w:tabs>
        <w:ind w:left="2880" w:hanging="360"/>
      </w:pPr>
      <w:rPr>
        <w:rFonts w:ascii="Times New Roman" w:hAnsi="Times New Roman" w:hint="default"/>
      </w:rPr>
    </w:lvl>
    <w:lvl w:ilvl="4" w:tplc="4A3C5566" w:tentative="1">
      <w:start w:val="1"/>
      <w:numFmt w:val="bullet"/>
      <w:lvlText w:val="•"/>
      <w:lvlJc w:val="left"/>
      <w:pPr>
        <w:tabs>
          <w:tab w:val="num" w:pos="3600"/>
        </w:tabs>
        <w:ind w:left="3600" w:hanging="360"/>
      </w:pPr>
      <w:rPr>
        <w:rFonts w:ascii="Times New Roman" w:hAnsi="Times New Roman" w:hint="default"/>
      </w:rPr>
    </w:lvl>
    <w:lvl w:ilvl="5" w:tplc="B9988F36" w:tentative="1">
      <w:start w:val="1"/>
      <w:numFmt w:val="bullet"/>
      <w:lvlText w:val="•"/>
      <w:lvlJc w:val="left"/>
      <w:pPr>
        <w:tabs>
          <w:tab w:val="num" w:pos="4320"/>
        </w:tabs>
        <w:ind w:left="4320" w:hanging="360"/>
      </w:pPr>
      <w:rPr>
        <w:rFonts w:ascii="Times New Roman" w:hAnsi="Times New Roman" w:hint="default"/>
      </w:rPr>
    </w:lvl>
    <w:lvl w:ilvl="6" w:tplc="B03ED206" w:tentative="1">
      <w:start w:val="1"/>
      <w:numFmt w:val="bullet"/>
      <w:lvlText w:val="•"/>
      <w:lvlJc w:val="left"/>
      <w:pPr>
        <w:tabs>
          <w:tab w:val="num" w:pos="5040"/>
        </w:tabs>
        <w:ind w:left="5040" w:hanging="360"/>
      </w:pPr>
      <w:rPr>
        <w:rFonts w:ascii="Times New Roman" w:hAnsi="Times New Roman" w:hint="default"/>
      </w:rPr>
    </w:lvl>
    <w:lvl w:ilvl="7" w:tplc="E9BC87AC" w:tentative="1">
      <w:start w:val="1"/>
      <w:numFmt w:val="bullet"/>
      <w:lvlText w:val="•"/>
      <w:lvlJc w:val="left"/>
      <w:pPr>
        <w:tabs>
          <w:tab w:val="num" w:pos="5760"/>
        </w:tabs>
        <w:ind w:left="5760" w:hanging="360"/>
      </w:pPr>
      <w:rPr>
        <w:rFonts w:ascii="Times New Roman" w:hAnsi="Times New Roman" w:hint="default"/>
      </w:rPr>
    </w:lvl>
    <w:lvl w:ilvl="8" w:tplc="418296A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2907AB7"/>
    <w:multiLevelType w:val="hybridMultilevel"/>
    <w:tmpl w:val="0F907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192"/>
    <w:rsid w:val="00230CD2"/>
    <w:rsid w:val="0049524E"/>
    <w:rsid w:val="005270B1"/>
    <w:rsid w:val="0054564C"/>
    <w:rsid w:val="005E690F"/>
    <w:rsid w:val="00694995"/>
    <w:rsid w:val="007C1488"/>
    <w:rsid w:val="009451A5"/>
    <w:rsid w:val="009A76CB"/>
    <w:rsid w:val="00A71CB6"/>
    <w:rsid w:val="00A8120A"/>
    <w:rsid w:val="00A96F06"/>
    <w:rsid w:val="00B06494"/>
    <w:rsid w:val="00B34192"/>
    <w:rsid w:val="00C73671"/>
    <w:rsid w:val="00D46E91"/>
    <w:rsid w:val="00D47DBA"/>
    <w:rsid w:val="00DE063A"/>
    <w:rsid w:val="00E70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EE368"/>
  <w15:chartTrackingRefBased/>
  <w15:docId w15:val="{039DCA53-651F-42FD-B8F8-155D6D0F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192"/>
    <w:pPr>
      <w:spacing w:before="200" w:after="200" w:line="276" w:lineRule="auto"/>
    </w:pPr>
    <w:rPr>
      <w:sz w:val="20"/>
      <w:szCs w:val="20"/>
      <w:lang w:val="fr-FR"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link w:val="SansinterligneCar"/>
    <w:uiPriority w:val="1"/>
    <w:qFormat/>
    <w:rsid w:val="00B34192"/>
    <w:pPr>
      <w:spacing w:before="0" w:after="0" w:line="240" w:lineRule="auto"/>
    </w:pPr>
    <w:rPr>
      <w:lang w:val="en-US"/>
    </w:rPr>
  </w:style>
  <w:style w:type="character" w:customStyle="1" w:styleId="SansinterligneCar">
    <w:name w:val="Sans interligne Car"/>
    <w:basedOn w:val="Policepardfaut"/>
    <w:link w:val="Sansinterligne"/>
    <w:uiPriority w:val="1"/>
    <w:rsid w:val="00B34192"/>
    <w:rPr>
      <w:sz w:val="20"/>
      <w:szCs w:val="20"/>
      <w:lang w:bidi="en-US"/>
    </w:rPr>
  </w:style>
  <w:style w:type="paragraph" w:styleId="Paragraphedeliste">
    <w:name w:val="List Paragraph"/>
    <w:aliases w:val="References,Numbered List Paragraph,Bullets,List Bullet Mary,List Paragraph (numbered (a)),Liste 1,ReferencesCxSpLast,List Paragraph1,Medium Grid 1 - Accent 21,List Paragraph nowy,Texte Général,Paragraphe  revu"/>
    <w:basedOn w:val="Normal"/>
    <w:link w:val="ParagraphedelisteCar"/>
    <w:uiPriority w:val="34"/>
    <w:qFormat/>
    <w:rsid w:val="00B34192"/>
    <w:pPr>
      <w:ind w:left="720"/>
      <w:contextualSpacing/>
    </w:pPr>
  </w:style>
  <w:style w:type="character" w:customStyle="1" w:styleId="ParagraphedelisteCar">
    <w:name w:val="Paragraphe de liste Car"/>
    <w:aliases w:val="References Car,Numbered List Paragraph Car,Bullets Car,List Bullet Mary Car,List Paragraph (numbered (a)) Car,Liste 1 Car,ReferencesCxSpLast Car,List Paragraph1 Car,Medium Grid 1 - Accent 21 Car,List Paragraph nowy Car"/>
    <w:link w:val="Paragraphedeliste"/>
    <w:uiPriority w:val="34"/>
    <w:locked/>
    <w:rsid w:val="00B34192"/>
    <w:rPr>
      <w:sz w:val="20"/>
      <w:szCs w:val="20"/>
      <w:lang w:val="fr-FR" w:bidi="en-US"/>
    </w:rPr>
  </w:style>
  <w:style w:type="character" w:customStyle="1" w:styleId="En-tteCar">
    <w:name w:val="En-tête Car"/>
    <w:basedOn w:val="Policepardfaut"/>
    <w:link w:val="En-tte"/>
    <w:uiPriority w:val="99"/>
    <w:rsid w:val="00B34192"/>
    <w:rPr>
      <w:rFonts w:ascii="Times New Roman" w:eastAsia="Times New Roman" w:hAnsi="Times New Roman" w:cs="Times New Roman"/>
      <w:sz w:val="20"/>
      <w:szCs w:val="20"/>
      <w:lang w:val="fr-FR" w:eastAsia="fr-FR"/>
    </w:rPr>
  </w:style>
  <w:style w:type="paragraph" w:styleId="En-tte">
    <w:name w:val="header"/>
    <w:basedOn w:val="Normal"/>
    <w:link w:val="En-tteCar"/>
    <w:uiPriority w:val="99"/>
    <w:rsid w:val="00B34192"/>
    <w:pPr>
      <w:tabs>
        <w:tab w:val="center" w:pos="4536"/>
        <w:tab w:val="right" w:pos="9072"/>
      </w:tabs>
      <w:spacing w:before="0" w:after="0" w:line="240" w:lineRule="auto"/>
    </w:pPr>
    <w:rPr>
      <w:rFonts w:ascii="Times New Roman" w:eastAsia="Times New Roman" w:hAnsi="Times New Roman" w:cs="Times New Roman"/>
      <w:lang w:eastAsia="fr-FR" w:bidi="ar-SA"/>
    </w:rPr>
  </w:style>
  <w:style w:type="character" w:customStyle="1" w:styleId="En-tteCar1">
    <w:name w:val="En-tête Car1"/>
    <w:basedOn w:val="Policepardfaut"/>
    <w:uiPriority w:val="99"/>
    <w:semiHidden/>
    <w:rsid w:val="00B34192"/>
    <w:rPr>
      <w:sz w:val="20"/>
      <w:szCs w:val="20"/>
      <w:lang w:val="fr-FR" w:bidi="en-US"/>
    </w:rPr>
  </w:style>
  <w:style w:type="character" w:customStyle="1" w:styleId="PieddepageCar">
    <w:name w:val="Pied de page Car"/>
    <w:basedOn w:val="Policepardfaut"/>
    <w:link w:val="Pieddepage"/>
    <w:uiPriority w:val="99"/>
    <w:rsid w:val="00B34192"/>
    <w:rPr>
      <w:sz w:val="20"/>
      <w:szCs w:val="20"/>
      <w:lang w:val="fr-FR" w:bidi="en-US"/>
    </w:rPr>
  </w:style>
  <w:style w:type="paragraph" w:styleId="Pieddepage">
    <w:name w:val="footer"/>
    <w:basedOn w:val="Normal"/>
    <w:link w:val="PieddepageCar"/>
    <w:uiPriority w:val="99"/>
    <w:unhideWhenUsed/>
    <w:rsid w:val="00B34192"/>
    <w:pPr>
      <w:tabs>
        <w:tab w:val="center" w:pos="4536"/>
        <w:tab w:val="right" w:pos="9072"/>
      </w:tabs>
      <w:spacing w:before="0" w:after="0" w:line="240" w:lineRule="auto"/>
    </w:pPr>
  </w:style>
  <w:style w:type="character" w:customStyle="1" w:styleId="PieddepageCar1">
    <w:name w:val="Pied de page Car1"/>
    <w:basedOn w:val="Policepardfaut"/>
    <w:uiPriority w:val="99"/>
    <w:semiHidden/>
    <w:rsid w:val="00B34192"/>
    <w:rPr>
      <w:sz w:val="20"/>
      <w:szCs w:val="20"/>
      <w:lang w:val="fr-FR" w:bidi="en-US"/>
    </w:rPr>
  </w:style>
  <w:style w:type="character" w:styleId="lev">
    <w:name w:val="Strong"/>
    <w:uiPriority w:val="22"/>
    <w:qFormat/>
    <w:rsid w:val="00B34192"/>
    <w:rPr>
      <w:b/>
      <w:bCs/>
    </w:rPr>
  </w:style>
  <w:style w:type="paragraph" w:customStyle="1" w:styleId="Default">
    <w:name w:val="Default"/>
    <w:rsid w:val="00B34192"/>
    <w:pPr>
      <w:autoSpaceDE w:val="0"/>
      <w:autoSpaceDN w:val="0"/>
      <w:adjustRightInd w:val="0"/>
      <w:spacing w:after="0" w:line="240" w:lineRule="auto"/>
    </w:pPr>
    <w:rPr>
      <w:rFonts w:ascii="Times New Roman" w:eastAsiaTheme="minorEastAsia" w:hAnsi="Times New Roman" w:cs="Times New Roman"/>
      <w:color w:val="000000"/>
      <w:sz w:val="24"/>
      <w:szCs w:val="24"/>
      <w:lang w:val="fr-FR" w:eastAsia="fr-FR"/>
    </w:rPr>
  </w:style>
  <w:style w:type="character" w:styleId="Lienhypertexte">
    <w:name w:val="Hyperlink"/>
    <w:basedOn w:val="Policepardfaut"/>
    <w:uiPriority w:val="99"/>
    <w:rsid w:val="00B34192"/>
    <w:rPr>
      <w:color w:val="0000FF"/>
      <w:u w:val="single"/>
    </w:rPr>
  </w:style>
  <w:style w:type="character" w:customStyle="1" w:styleId="TextedebullesCar">
    <w:name w:val="Texte de bulles Car"/>
    <w:basedOn w:val="Policepardfaut"/>
    <w:link w:val="Textedebulles"/>
    <w:uiPriority w:val="99"/>
    <w:semiHidden/>
    <w:rsid w:val="00B34192"/>
    <w:rPr>
      <w:rFonts w:ascii="Tahoma" w:hAnsi="Tahoma" w:cs="Tahoma"/>
      <w:sz w:val="16"/>
      <w:szCs w:val="16"/>
      <w:lang w:val="fr-FR" w:bidi="en-US"/>
    </w:rPr>
  </w:style>
  <w:style w:type="paragraph" w:styleId="Textedebulles">
    <w:name w:val="Balloon Text"/>
    <w:basedOn w:val="Normal"/>
    <w:link w:val="TextedebullesCar"/>
    <w:uiPriority w:val="99"/>
    <w:semiHidden/>
    <w:unhideWhenUsed/>
    <w:rsid w:val="00B34192"/>
    <w:pPr>
      <w:spacing w:before="0" w:after="0" w:line="240" w:lineRule="auto"/>
    </w:pPr>
    <w:rPr>
      <w:rFonts w:ascii="Tahoma" w:hAnsi="Tahoma" w:cs="Tahoma"/>
      <w:sz w:val="16"/>
      <w:szCs w:val="16"/>
    </w:rPr>
  </w:style>
  <w:style w:type="character" w:customStyle="1" w:styleId="TextedebullesCar1">
    <w:name w:val="Texte de bulles Car1"/>
    <w:basedOn w:val="Policepardfaut"/>
    <w:uiPriority w:val="99"/>
    <w:semiHidden/>
    <w:rsid w:val="00B34192"/>
    <w:rPr>
      <w:rFonts w:ascii="Segoe UI" w:hAnsi="Segoe UI" w:cs="Segoe UI"/>
      <w:sz w:val="18"/>
      <w:szCs w:val="18"/>
      <w:lang w:val="fr-FR" w:bidi="en-US"/>
    </w:rPr>
  </w:style>
  <w:style w:type="character" w:customStyle="1" w:styleId="CommentaireCar">
    <w:name w:val="Commentaire Car"/>
    <w:basedOn w:val="Policepardfaut"/>
    <w:link w:val="Commentaire"/>
    <w:uiPriority w:val="99"/>
    <w:semiHidden/>
    <w:rsid w:val="00B34192"/>
    <w:rPr>
      <w:sz w:val="20"/>
      <w:szCs w:val="20"/>
      <w:lang w:val="fr-FR" w:bidi="en-US"/>
    </w:rPr>
  </w:style>
  <w:style w:type="paragraph" w:styleId="Commentaire">
    <w:name w:val="annotation text"/>
    <w:basedOn w:val="Normal"/>
    <w:link w:val="CommentaireCar"/>
    <w:uiPriority w:val="99"/>
    <w:semiHidden/>
    <w:unhideWhenUsed/>
    <w:rsid w:val="00B34192"/>
    <w:pPr>
      <w:spacing w:line="240" w:lineRule="auto"/>
    </w:pPr>
  </w:style>
  <w:style w:type="character" w:customStyle="1" w:styleId="CommentaireCar1">
    <w:name w:val="Commentaire Car1"/>
    <w:basedOn w:val="Policepardfaut"/>
    <w:uiPriority w:val="99"/>
    <w:semiHidden/>
    <w:rsid w:val="00B34192"/>
    <w:rPr>
      <w:sz w:val="20"/>
      <w:szCs w:val="20"/>
      <w:lang w:val="fr-FR" w:bidi="en-US"/>
    </w:rPr>
  </w:style>
  <w:style w:type="character" w:customStyle="1" w:styleId="ObjetducommentaireCar">
    <w:name w:val="Objet du commentaire Car"/>
    <w:basedOn w:val="CommentaireCar"/>
    <w:link w:val="Objetducommentaire"/>
    <w:uiPriority w:val="99"/>
    <w:semiHidden/>
    <w:rsid w:val="00B34192"/>
    <w:rPr>
      <w:b/>
      <w:bCs/>
      <w:sz w:val="20"/>
      <w:szCs w:val="20"/>
      <w:lang w:val="fr-FR" w:bidi="en-US"/>
    </w:rPr>
  </w:style>
  <w:style w:type="paragraph" w:styleId="Objetducommentaire">
    <w:name w:val="annotation subject"/>
    <w:basedOn w:val="Commentaire"/>
    <w:next w:val="Commentaire"/>
    <w:link w:val="ObjetducommentaireCar"/>
    <w:uiPriority w:val="99"/>
    <w:semiHidden/>
    <w:unhideWhenUsed/>
    <w:rsid w:val="00B34192"/>
    <w:rPr>
      <w:b/>
      <w:bCs/>
    </w:rPr>
  </w:style>
  <w:style w:type="character" w:customStyle="1" w:styleId="ObjetducommentaireCar1">
    <w:name w:val="Objet du commentaire Car1"/>
    <w:basedOn w:val="CommentaireCar1"/>
    <w:uiPriority w:val="99"/>
    <w:semiHidden/>
    <w:rsid w:val="00B34192"/>
    <w:rPr>
      <w:b/>
      <w:bCs/>
      <w:sz w:val="20"/>
      <w:szCs w:val="20"/>
      <w:lang w:val="fr-FR"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432134">
      <w:bodyDiv w:val="1"/>
      <w:marLeft w:val="0"/>
      <w:marRight w:val="0"/>
      <w:marTop w:val="0"/>
      <w:marBottom w:val="0"/>
      <w:divBdr>
        <w:top w:val="none" w:sz="0" w:space="0" w:color="auto"/>
        <w:left w:val="none" w:sz="0" w:space="0" w:color="auto"/>
        <w:bottom w:val="none" w:sz="0" w:space="0" w:color="auto"/>
        <w:right w:val="none" w:sz="0" w:space="0" w:color="auto"/>
      </w:divBdr>
    </w:div>
    <w:div w:id="1529292464">
      <w:bodyDiv w:val="1"/>
      <w:marLeft w:val="0"/>
      <w:marRight w:val="0"/>
      <w:marTop w:val="0"/>
      <w:marBottom w:val="0"/>
      <w:divBdr>
        <w:top w:val="none" w:sz="0" w:space="0" w:color="auto"/>
        <w:left w:val="none" w:sz="0" w:space="0" w:color="auto"/>
        <w:bottom w:val="none" w:sz="0" w:space="0" w:color="auto"/>
        <w:right w:val="none" w:sz="0" w:space="0" w:color="auto"/>
      </w:divBdr>
    </w:div>
    <w:div w:id="197402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hart" Target="charts/chart2.xml"/></Relationships>
</file>

<file path=word/_rels/footer1.xml.rels><?xml version="1.0" encoding="UTF-8" standalone="yes"?>
<Relationships xmlns="http://schemas.openxmlformats.org/package/2006/relationships"><Relationship Id="rId2" Type="http://schemas.openxmlformats.org/officeDocument/2006/relationships/hyperlink" Target="http://www.isteebu.bi" TargetMode="External"/><Relationship Id="rId1" Type="http://schemas.openxmlformats.org/officeDocument/2006/relationships/hyperlink" Target="mailto:isteebu@isteebu.b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Classeur1%20janvier%20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Classeur1%20janvier%20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cuments\Classeur1%20janvier%20202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Graphiques!$D$5</c:f>
              <c:strCache>
                <c:ptCount val="1"/>
                <c:pt idx="0">
                  <c:v>Céréales</c:v>
                </c:pt>
              </c:strCache>
            </c:strRef>
          </c:tx>
          <c:spPr>
            <a:solidFill>
              <a:schemeClr val="accent1"/>
            </a:solidFill>
            <a:ln>
              <a:noFill/>
            </a:ln>
            <a:effectLst/>
          </c:spPr>
          <c:invertIfNegative val="0"/>
          <c:cat>
            <c:multiLvlStrRef>
              <c:f>Graphiques!$E$3:$J$4</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Graphiques!$E$5:$J$5</c:f>
              <c:numCache>
                <c:formatCode>0.0</c:formatCode>
                <c:ptCount val="6"/>
                <c:pt idx="0">
                  <c:v>188.44713838206985</c:v>
                </c:pt>
                <c:pt idx="1">
                  <c:v>206.97756690508299</c:v>
                </c:pt>
                <c:pt idx="2">
                  <c:v>243.68578064315452</c:v>
                </c:pt>
                <c:pt idx="3">
                  <c:v>266.1779380830983</c:v>
                </c:pt>
                <c:pt idx="4">
                  <c:v>273.23560730305041</c:v>
                </c:pt>
                <c:pt idx="5">
                  <c:v>268.49499131667409</c:v>
                </c:pt>
              </c:numCache>
            </c:numRef>
          </c:val>
          <c:extLst>
            <c:ext xmlns:c16="http://schemas.microsoft.com/office/drawing/2014/chart" uri="{C3380CC4-5D6E-409C-BE32-E72D297353CC}">
              <c16:uniqueId val="{00000000-0167-49AC-A705-2A1553A7A0E9}"/>
            </c:ext>
          </c:extLst>
        </c:ser>
        <c:ser>
          <c:idx val="1"/>
          <c:order val="1"/>
          <c:tx>
            <c:strRef>
              <c:f>Graphiques!$D$6</c:f>
              <c:strCache>
                <c:ptCount val="1"/>
                <c:pt idx="0">
                  <c:v>Tubércules et racines</c:v>
                </c:pt>
              </c:strCache>
            </c:strRef>
          </c:tx>
          <c:spPr>
            <a:solidFill>
              <a:schemeClr val="accent2"/>
            </a:solidFill>
            <a:ln>
              <a:noFill/>
            </a:ln>
            <a:effectLst/>
          </c:spPr>
          <c:invertIfNegative val="0"/>
          <c:cat>
            <c:multiLvlStrRef>
              <c:f>Graphiques!$E$3:$J$4</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Graphiques!$E$6:$J$6</c:f>
              <c:numCache>
                <c:formatCode>0.0</c:formatCode>
                <c:ptCount val="6"/>
                <c:pt idx="0">
                  <c:v>111.20685139728546</c:v>
                </c:pt>
                <c:pt idx="1">
                  <c:v>109.70396676728105</c:v>
                </c:pt>
                <c:pt idx="2">
                  <c:v>120.94482595239349</c:v>
                </c:pt>
                <c:pt idx="3">
                  <c:v>119.89810130885229</c:v>
                </c:pt>
                <c:pt idx="4">
                  <c:v>130.46076665019035</c:v>
                </c:pt>
                <c:pt idx="5">
                  <c:v>132.01537626203219</c:v>
                </c:pt>
              </c:numCache>
            </c:numRef>
          </c:val>
          <c:extLst>
            <c:ext xmlns:c16="http://schemas.microsoft.com/office/drawing/2014/chart" uri="{C3380CC4-5D6E-409C-BE32-E72D297353CC}">
              <c16:uniqueId val="{00000001-0167-49AC-A705-2A1553A7A0E9}"/>
            </c:ext>
          </c:extLst>
        </c:ser>
        <c:ser>
          <c:idx val="2"/>
          <c:order val="2"/>
          <c:tx>
            <c:strRef>
              <c:f>Graphiques!$D$7</c:f>
              <c:strCache>
                <c:ptCount val="1"/>
                <c:pt idx="0">
                  <c:v>Légumineuses</c:v>
                </c:pt>
              </c:strCache>
            </c:strRef>
          </c:tx>
          <c:spPr>
            <a:solidFill>
              <a:schemeClr val="accent3"/>
            </a:solidFill>
            <a:ln>
              <a:noFill/>
            </a:ln>
            <a:effectLst/>
          </c:spPr>
          <c:invertIfNegative val="0"/>
          <c:cat>
            <c:multiLvlStrRef>
              <c:f>Graphiques!$E$3:$J$4</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Graphiques!$E$7:$J$7</c:f>
              <c:numCache>
                <c:formatCode>0.0</c:formatCode>
                <c:ptCount val="6"/>
                <c:pt idx="0">
                  <c:v>143.2407146879525</c:v>
                </c:pt>
                <c:pt idx="1">
                  <c:v>155.64363044841704</c:v>
                </c:pt>
                <c:pt idx="2">
                  <c:v>179.60071786243691</c:v>
                </c:pt>
                <c:pt idx="3">
                  <c:v>196.71443907479556</c:v>
                </c:pt>
                <c:pt idx="4">
                  <c:v>210.40143072976747</c:v>
                </c:pt>
                <c:pt idx="5">
                  <c:v>234.03923573292786</c:v>
                </c:pt>
              </c:numCache>
            </c:numRef>
          </c:val>
          <c:extLst>
            <c:ext xmlns:c16="http://schemas.microsoft.com/office/drawing/2014/chart" uri="{C3380CC4-5D6E-409C-BE32-E72D297353CC}">
              <c16:uniqueId val="{00000002-0167-49AC-A705-2A1553A7A0E9}"/>
            </c:ext>
          </c:extLst>
        </c:ser>
        <c:ser>
          <c:idx val="3"/>
          <c:order val="3"/>
          <c:tx>
            <c:strRef>
              <c:f>Graphiques!$D$8</c:f>
              <c:strCache>
                <c:ptCount val="1"/>
                <c:pt idx="0">
                  <c:v>Produits des plantes oléagineuses</c:v>
                </c:pt>
              </c:strCache>
            </c:strRef>
          </c:tx>
          <c:spPr>
            <a:solidFill>
              <a:schemeClr val="accent4"/>
            </a:solidFill>
            <a:ln>
              <a:noFill/>
            </a:ln>
            <a:effectLst/>
          </c:spPr>
          <c:invertIfNegative val="0"/>
          <c:cat>
            <c:multiLvlStrRef>
              <c:f>Graphiques!$E$3:$J$4</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Graphiques!$E$8:$J$8</c:f>
              <c:numCache>
                <c:formatCode>0.0</c:formatCode>
                <c:ptCount val="6"/>
                <c:pt idx="0">
                  <c:v>206.5207666029473</c:v>
                </c:pt>
                <c:pt idx="1">
                  <c:v>212.52556491478265</c:v>
                </c:pt>
                <c:pt idx="2">
                  <c:v>224.95151625954986</c:v>
                </c:pt>
                <c:pt idx="3">
                  <c:v>244.18085616999164</c:v>
                </c:pt>
                <c:pt idx="4">
                  <c:v>231.41239496193043</c:v>
                </c:pt>
                <c:pt idx="5">
                  <c:v>266.99912844118944</c:v>
                </c:pt>
              </c:numCache>
            </c:numRef>
          </c:val>
          <c:extLst>
            <c:ext xmlns:c16="http://schemas.microsoft.com/office/drawing/2014/chart" uri="{C3380CC4-5D6E-409C-BE32-E72D297353CC}">
              <c16:uniqueId val="{00000003-0167-49AC-A705-2A1553A7A0E9}"/>
            </c:ext>
          </c:extLst>
        </c:ser>
        <c:ser>
          <c:idx val="4"/>
          <c:order val="4"/>
          <c:tx>
            <c:strRef>
              <c:f>Graphiques!$D$9</c:f>
              <c:strCache>
                <c:ptCount val="1"/>
                <c:pt idx="0">
                  <c:v>Cultures industrielles/exportations</c:v>
                </c:pt>
              </c:strCache>
            </c:strRef>
          </c:tx>
          <c:spPr>
            <a:solidFill>
              <a:schemeClr val="accent5"/>
            </a:solidFill>
            <a:ln>
              <a:noFill/>
            </a:ln>
            <a:effectLst/>
          </c:spPr>
          <c:invertIfNegative val="0"/>
          <c:cat>
            <c:multiLvlStrRef>
              <c:f>Graphiques!$E$3:$J$4</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Graphiques!$E$9:$J$9</c:f>
              <c:numCache>
                <c:formatCode>0.0</c:formatCode>
                <c:ptCount val="6"/>
                <c:pt idx="0">
                  <c:v>174.56168319417802</c:v>
                </c:pt>
                <c:pt idx="1">
                  <c:v>174.56168319417802</c:v>
                </c:pt>
                <c:pt idx="2">
                  <c:v>174.56168319417802</c:v>
                </c:pt>
                <c:pt idx="3">
                  <c:v>174.56168319417802</c:v>
                </c:pt>
                <c:pt idx="4">
                  <c:v>174.56168319417802</c:v>
                </c:pt>
                <c:pt idx="5">
                  <c:v>174.56168319417802</c:v>
                </c:pt>
              </c:numCache>
            </c:numRef>
          </c:val>
          <c:extLst>
            <c:ext xmlns:c16="http://schemas.microsoft.com/office/drawing/2014/chart" uri="{C3380CC4-5D6E-409C-BE32-E72D297353CC}">
              <c16:uniqueId val="{00000004-0167-49AC-A705-2A1553A7A0E9}"/>
            </c:ext>
          </c:extLst>
        </c:ser>
        <c:dLbls>
          <c:showLegendKey val="0"/>
          <c:showVal val="0"/>
          <c:showCatName val="0"/>
          <c:showSerName val="0"/>
          <c:showPercent val="0"/>
          <c:showBubbleSize val="0"/>
        </c:dLbls>
        <c:gapWidth val="219"/>
        <c:overlap val="-27"/>
        <c:axId val="779645104"/>
        <c:axId val="779641776"/>
      </c:barChart>
      <c:catAx>
        <c:axId val="779645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9641776"/>
        <c:crosses val="autoZero"/>
        <c:auto val="1"/>
        <c:lblAlgn val="ctr"/>
        <c:lblOffset val="100"/>
        <c:noMultiLvlLbl val="0"/>
      </c:catAx>
      <c:valAx>
        <c:axId val="77964177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9645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Graphiques!$D$26</c:f>
              <c:strCache>
                <c:ptCount val="1"/>
                <c:pt idx="0">
                  <c:v>Légumes frais</c:v>
                </c:pt>
              </c:strCache>
            </c:strRef>
          </c:tx>
          <c:spPr>
            <a:solidFill>
              <a:schemeClr val="accent1"/>
            </a:solidFill>
            <a:ln>
              <a:noFill/>
            </a:ln>
            <a:effectLst/>
          </c:spPr>
          <c:invertIfNegative val="0"/>
          <c:cat>
            <c:multiLvlStrRef>
              <c:f>Graphiques!$E$24:$J$25</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Graphiques!$E$26:$J$26</c:f>
              <c:numCache>
                <c:formatCode>0.0</c:formatCode>
                <c:ptCount val="6"/>
                <c:pt idx="0">
                  <c:v>144.91424392922519</c:v>
                </c:pt>
                <c:pt idx="1">
                  <c:v>144.63938721051306</c:v>
                </c:pt>
                <c:pt idx="2">
                  <c:v>158.4574349136677</c:v>
                </c:pt>
                <c:pt idx="3">
                  <c:v>135.78767203206198</c:v>
                </c:pt>
                <c:pt idx="4">
                  <c:v>139.82582403158548</c:v>
                </c:pt>
                <c:pt idx="5">
                  <c:v>134.3905689184042</c:v>
                </c:pt>
              </c:numCache>
            </c:numRef>
          </c:val>
          <c:extLst>
            <c:ext xmlns:c16="http://schemas.microsoft.com/office/drawing/2014/chart" uri="{C3380CC4-5D6E-409C-BE32-E72D297353CC}">
              <c16:uniqueId val="{00000000-9A5C-497D-95F2-9DE3BC511C02}"/>
            </c:ext>
          </c:extLst>
        </c:ser>
        <c:ser>
          <c:idx val="1"/>
          <c:order val="1"/>
          <c:tx>
            <c:strRef>
              <c:f>Graphiques!$D$27</c:f>
              <c:strCache>
                <c:ptCount val="1"/>
                <c:pt idx="0">
                  <c:v>Banane</c:v>
                </c:pt>
              </c:strCache>
            </c:strRef>
          </c:tx>
          <c:spPr>
            <a:solidFill>
              <a:schemeClr val="accent2"/>
            </a:solidFill>
            <a:ln>
              <a:noFill/>
            </a:ln>
            <a:effectLst/>
          </c:spPr>
          <c:invertIfNegative val="0"/>
          <c:cat>
            <c:multiLvlStrRef>
              <c:f>Graphiques!$E$24:$J$25</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Graphiques!$E$27:$J$27</c:f>
              <c:numCache>
                <c:formatCode>0.0</c:formatCode>
                <c:ptCount val="6"/>
                <c:pt idx="0">
                  <c:v>130.21268454817513</c:v>
                </c:pt>
                <c:pt idx="1">
                  <c:v>124.79247416948881</c:v>
                </c:pt>
                <c:pt idx="2">
                  <c:v>125.48680102911959</c:v>
                </c:pt>
                <c:pt idx="3">
                  <c:v>128.33203616611323</c:v>
                </c:pt>
                <c:pt idx="4">
                  <c:v>138.0126568070782</c:v>
                </c:pt>
                <c:pt idx="5">
                  <c:v>143.02579746542025</c:v>
                </c:pt>
              </c:numCache>
            </c:numRef>
          </c:val>
          <c:extLst>
            <c:ext xmlns:c16="http://schemas.microsoft.com/office/drawing/2014/chart" uri="{C3380CC4-5D6E-409C-BE32-E72D297353CC}">
              <c16:uniqueId val="{00000001-9A5C-497D-95F2-9DE3BC511C02}"/>
            </c:ext>
          </c:extLst>
        </c:ser>
        <c:ser>
          <c:idx val="2"/>
          <c:order val="2"/>
          <c:tx>
            <c:strRef>
              <c:f>Graphiques!$D$28</c:f>
              <c:strCache>
                <c:ptCount val="1"/>
                <c:pt idx="0">
                  <c:v>Fruits frais</c:v>
                </c:pt>
              </c:strCache>
            </c:strRef>
          </c:tx>
          <c:spPr>
            <a:solidFill>
              <a:schemeClr val="accent3"/>
            </a:solidFill>
            <a:ln>
              <a:noFill/>
            </a:ln>
            <a:effectLst/>
          </c:spPr>
          <c:invertIfNegative val="0"/>
          <c:cat>
            <c:multiLvlStrRef>
              <c:f>Graphiques!$E$24:$J$25</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Graphiques!$E$28:$J$28</c:f>
              <c:numCache>
                <c:formatCode>0.0</c:formatCode>
                <c:ptCount val="6"/>
                <c:pt idx="0">
                  <c:v>154.51194007656758</c:v>
                </c:pt>
                <c:pt idx="1">
                  <c:v>159.13784454080306</c:v>
                </c:pt>
                <c:pt idx="2">
                  <c:v>165.77926166348624</c:v>
                </c:pt>
                <c:pt idx="3">
                  <c:v>189.33625524825575</c:v>
                </c:pt>
                <c:pt idx="4">
                  <c:v>199.31308296905075</c:v>
                </c:pt>
                <c:pt idx="5">
                  <c:v>179.06891357804309</c:v>
                </c:pt>
              </c:numCache>
            </c:numRef>
          </c:val>
          <c:extLst>
            <c:ext xmlns:c16="http://schemas.microsoft.com/office/drawing/2014/chart" uri="{C3380CC4-5D6E-409C-BE32-E72D297353CC}">
              <c16:uniqueId val="{00000002-9A5C-497D-95F2-9DE3BC511C02}"/>
            </c:ext>
          </c:extLst>
        </c:ser>
        <c:ser>
          <c:idx val="3"/>
          <c:order val="3"/>
          <c:tx>
            <c:strRef>
              <c:f>Graphiques!$D$29</c:f>
              <c:strCache>
                <c:ptCount val="1"/>
                <c:pt idx="0">
                  <c:v>Produits de la sylviculture et de l’exploitation forestière</c:v>
                </c:pt>
              </c:strCache>
            </c:strRef>
          </c:tx>
          <c:spPr>
            <a:solidFill>
              <a:schemeClr val="accent4"/>
            </a:solidFill>
            <a:ln>
              <a:noFill/>
            </a:ln>
            <a:effectLst/>
          </c:spPr>
          <c:invertIfNegative val="0"/>
          <c:cat>
            <c:multiLvlStrRef>
              <c:f>Graphiques!$E$24:$J$25</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Graphiques!$E$29:$J$29</c:f>
              <c:numCache>
                <c:formatCode>0.0</c:formatCode>
                <c:ptCount val="6"/>
                <c:pt idx="0">
                  <c:v>84.315024542054005</c:v>
                </c:pt>
                <c:pt idx="1">
                  <c:v>84.685041015575521</c:v>
                </c:pt>
                <c:pt idx="2">
                  <c:v>85.306722102364517</c:v>
                </c:pt>
                <c:pt idx="3">
                  <c:v>88.145869720336862</c:v>
                </c:pt>
                <c:pt idx="4">
                  <c:v>88.583265726560484</c:v>
                </c:pt>
                <c:pt idx="5">
                  <c:v>82.250195171672047</c:v>
                </c:pt>
              </c:numCache>
            </c:numRef>
          </c:val>
          <c:extLst>
            <c:ext xmlns:c16="http://schemas.microsoft.com/office/drawing/2014/chart" uri="{C3380CC4-5D6E-409C-BE32-E72D297353CC}">
              <c16:uniqueId val="{00000003-9A5C-497D-95F2-9DE3BC511C02}"/>
            </c:ext>
          </c:extLst>
        </c:ser>
        <c:ser>
          <c:idx val="4"/>
          <c:order val="4"/>
          <c:tx>
            <c:strRef>
              <c:f>Graphiques!$D$30</c:f>
              <c:strCache>
                <c:ptCount val="1"/>
                <c:pt idx="0">
                  <c:v>Produits de la pêche (coutumière et artisanale)</c:v>
                </c:pt>
              </c:strCache>
            </c:strRef>
          </c:tx>
          <c:spPr>
            <a:solidFill>
              <a:schemeClr val="accent5"/>
            </a:solidFill>
            <a:ln>
              <a:noFill/>
            </a:ln>
            <a:effectLst/>
          </c:spPr>
          <c:invertIfNegative val="0"/>
          <c:cat>
            <c:multiLvlStrRef>
              <c:f>Graphiques!$E$24:$J$25</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Graphiques!$E$30:$J$30</c:f>
              <c:numCache>
                <c:formatCode>0.0</c:formatCode>
                <c:ptCount val="6"/>
                <c:pt idx="0">
                  <c:v>237.86672343365549</c:v>
                </c:pt>
                <c:pt idx="1">
                  <c:v>304.77441825484004</c:v>
                </c:pt>
                <c:pt idx="2">
                  <c:v>213.70308908912222</c:v>
                </c:pt>
                <c:pt idx="3">
                  <c:v>204.7007505364771</c:v>
                </c:pt>
                <c:pt idx="4">
                  <c:v>203.91199309401338</c:v>
                </c:pt>
                <c:pt idx="5">
                  <c:v>206.4663433887178</c:v>
                </c:pt>
              </c:numCache>
            </c:numRef>
          </c:val>
          <c:extLst>
            <c:ext xmlns:c16="http://schemas.microsoft.com/office/drawing/2014/chart" uri="{C3380CC4-5D6E-409C-BE32-E72D297353CC}">
              <c16:uniqueId val="{00000004-9A5C-497D-95F2-9DE3BC511C02}"/>
            </c:ext>
          </c:extLst>
        </c:ser>
        <c:dLbls>
          <c:showLegendKey val="0"/>
          <c:showVal val="0"/>
          <c:showCatName val="0"/>
          <c:showSerName val="0"/>
          <c:showPercent val="0"/>
          <c:showBubbleSize val="0"/>
        </c:dLbls>
        <c:gapWidth val="219"/>
        <c:overlap val="-27"/>
        <c:axId val="1123230207"/>
        <c:axId val="1123235615"/>
      </c:barChart>
      <c:catAx>
        <c:axId val="1123230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3235615"/>
        <c:crosses val="autoZero"/>
        <c:auto val="1"/>
        <c:lblAlgn val="ctr"/>
        <c:lblOffset val="100"/>
        <c:noMultiLvlLbl val="0"/>
      </c:catAx>
      <c:valAx>
        <c:axId val="1123235615"/>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3230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Graphiques!$D$49</c:f>
              <c:strCache>
                <c:ptCount val="1"/>
                <c:pt idx="0">
                  <c:v>Bovins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Graphiques!$E$47:$J$48</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Graphiques!$E$49:$J$49</c:f>
              <c:numCache>
                <c:formatCode>0.0</c:formatCode>
                <c:ptCount val="6"/>
                <c:pt idx="0">
                  <c:v>171.15720226821807</c:v>
                </c:pt>
                <c:pt idx="1">
                  <c:v>169.73787047092483</c:v>
                </c:pt>
                <c:pt idx="2">
                  <c:v>164.43890810266046</c:v>
                </c:pt>
                <c:pt idx="3">
                  <c:v>166.70517067433471</c:v>
                </c:pt>
                <c:pt idx="4">
                  <c:v>175.72240773241077</c:v>
                </c:pt>
                <c:pt idx="5">
                  <c:v>168.55921084338851</c:v>
                </c:pt>
              </c:numCache>
            </c:numRef>
          </c:val>
          <c:smooth val="0"/>
          <c:extLst>
            <c:ext xmlns:c16="http://schemas.microsoft.com/office/drawing/2014/chart" uri="{C3380CC4-5D6E-409C-BE32-E72D297353CC}">
              <c16:uniqueId val="{00000000-FC18-47DA-8621-72CBA4DD74E3}"/>
            </c:ext>
          </c:extLst>
        </c:ser>
        <c:ser>
          <c:idx val="1"/>
          <c:order val="1"/>
          <c:tx>
            <c:strRef>
              <c:f>Graphiques!$D$50</c:f>
              <c:strCache>
                <c:ptCount val="1"/>
                <c:pt idx="0">
                  <c:v>Ovins caprins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Graphiques!$E$47:$J$48</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Graphiques!$E$50:$J$50</c:f>
              <c:numCache>
                <c:formatCode>0.0</c:formatCode>
                <c:ptCount val="6"/>
                <c:pt idx="0">
                  <c:v>157.68320410454351</c:v>
                </c:pt>
                <c:pt idx="1">
                  <c:v>155.31962250839197</c:v>
                </c:pt>
                <c:pt idx="2">
                  <c:v>155.64091854706624</c:v>
                </c:pt>
                <c:pt idx="3">
                  <c:v>156.82427024267736</c:v>
                </c:pt>
                <c:pt idx="4">
                  <c:v>162.47933946123405</c:v>
                </c:pt>
                <c:pt idx="5">
                  <c:v>160.62136930147835</c:v>
                </c:pt>
              </c:numCache>
            </c:numRef>
          </c:val>
          <c:smooth val="0"/>
          <c:extLst>
            <c:ext xmlns:c16="http://schemas.microsoft.com/office/drawing/2014/chart" uri="{C3380CC4-5D6E-409C-BE32-E72D297353CC}">
              <c16:uniqueId val="{00000001-FC18-47DA-8621-72CBA4DD74E3}"/>
            </c:ext>
          </c:extLst>
        </c:ser>
        <c:ser>
          <c:idx val="2"/>
          <c:order val="2"/>
          <c:tx>
            <c:strRef>
              <c:f>Graphiques!$D$51</c:f>
              <c:strCache>
                <c:ptCount val="1"/>
                <c:pt idx="0">
                  <c:v>Porcins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Graphiques!$E$47:$J$48</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Graphiques!$E$51:$J$51</c:f>
              <c:numCache>
                <c:formatCode>0.0</c:formatCode>
                <c:ptCount val="6"/>
                <c:pt idx="0">
                  <c:v>160.59089803572351</c:v>
                </c:pt>
                <c:pt idx="1">
                  <c:v>159.62316442335069</c:v>
                </c:pt>
                <c:pt idx="2">
                  <c:v>160.20254285391997</c:v>
                </c:pt>
                <c:pt idx="3">
                  <c:v>164.53643333940818</c:v>
                </c:pt>
                <c:pt idx="4">
                  <c:v>177.73511864398927</c:v>
                </c:pt>
                <c:pt idx="5">
                  <c:v>169.28135375429579</c:v>
                </c:pt>
              </c:numCache>
            </c:numRef>
          </c:val>
          <c:smooth val="0"/>
          <c:extLst>
            <c:ext xmlns:c16="http://schemas.microsoft.com/office/drawing/2014/chart" uri="{C3380CC4-5D6E-409C-BE32-E72D297353CC}">
              <c16:uniqueId val="{00000002-FC18-47DA-8621-72CBA4DD74E3}"/>
            </c:ext>
          </c:extLst>
        </c:ser>
        <c:ser>
          <c:idx val="3"/>
          <c:order val="3"/>
          <c:tx>
            <c:strRef>
              <c:f>Graphiques!$D$52</c:f>
              <c:strCache>
                <c:ptCount val="1"/>
                <c:pt idx="0">
                  <c:v>Autres produits élevages et volailles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Graphiques!$E$47:$J$48</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Graphiques!$E$52:$J$52</c:f>
              <c:numCache>
                <c:formatCode>0.0</c:formatCode>
                <c:ptCount val="6"/>
                <c:pt idx="0">
                  <c:v>166.46396318401048</c:v>
                </c:pt>
                <c:pt idx="1">
                  <c:v>167.58337887360278</c:v>
                </c:pt>
                <c:pt idx="2">
                  <c:v>172.12766776177887</c:v>
                </c:pt>
                <c:pt idx="3">
                  <c:v>171.33939078368479</c:v>
                </c:pt>
                <c:pt idx="4">
                  <c:v>174.92018006037222</c:v>
                </c:pt>
                <c:pt idx="5">
                  <c:v>174.48497907504947</c:v>
                </c:pt>
              </c:numCache>
            </c:numRef>
          </c:val>
          <c:smooth val="0"/>
          <c:extLst>
            <c:ext xmlns:c16="http://schemas.microsoft.com/office/drawing/2014/chart" uri="{C3380CC4-5D6E-409C-BE32-E72D297353CC}">
              <c16:uniqueId val="{00000003-FC18-47DA-8621-72CBA4DD74E3}"/>
            </c:ext>
          </c:extLst>
        </c:ser>
        <c:ser>
          <c:idx val="4"/>
          <c:order val="4"/>
          <c:tx>
            <c:strRef>
              <c:f>Graphiques!$D$53</c:f>
              <c:strCache>
                <c:ptCount val="1"/>
                <c:pt idx="0">
                  <c:v>Sous produits de l'élevage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Graphiques!$E$47:$J$48</c:f>
              <c:multiLvlStrCache>
                <c:ptCount val="6"/>
                <c:lvl>
                  <c:pt idx="0">
                    <c:v>août-22</c:v>
                  </c:pt>
                  <c:pt idx="1">
                    <c:v>sept-22</c:v>
                  </c:pt>
                  <c:pt idx="2">
                    <c:v>oct-22</c:v>
                  </c:pt>
                  <c:pt idx="3">
                    <c:v>nov-22</c:v>
                  </c:pt>
                  <c:pt idx="4">
                    <c:v>déc-22</c:v>
                  </c:pt>
                  <c:pt idx="5">
                    <c:v>janv-23</c:v>
                  </c:pt>
                </c:lvl>
                <c:lvl>
                  <c:pt idx="0">
                    <c:v>Indices</c:v>
                  </c:pt>
                </c:lvl>
              </c:multiLvlStrCache>
            </c:multiLvlStrRef>
          </c:cat>
          <c:val>
            <c:numRef>
              <c:f>Graphiques!$E$53:$J$53</c:f>
              <c:numCache>
                <c:formatCode>0.0</c:formatCode>
                <c:ptCount val="6"/>
                <c:pt idx="0">
                  <c:v>138.20172032263574</c:v>
                </c:pt>
                <c:pt idx="1">
                  <c:v>138.40702348021929</c:v>
                </c:pt>
                <c:pt idx="2">
                  <c:v>139.7356998706627</c:v>
                </c:pt>
                <c:pt idx="3">
                  <c:v>139.12938301429554</c:v>
                </c:pt>
                <c:pt idx="4">
                  <c:v>141.88011058556816</c:v>
                </c:pt>
                <c:pt idx="5">
                  <c:v>142.72280995803766</c:v>
                </c:pt>
              </c:numCache>
            </c:numRef>
          </c:val>
          <c:smooth val="0"/>
          <c:extLst>
            <c:ext xmlns:c16="http://schemas.microsoft.com/office/drawing/2014/chart" uri="{C3380CC4-5D6E-409C-BE32-E72D297353CC}">
              <c16:uniqueId val="{00000004-FC18-47DA-8621-72CBA4DD74E3}"/>
            </c:ext>
          </c:extLst>
        </c:ser>
        <c:dLbls>
          <c:showLegendKey val="0"/>
          <c:showVal val="0"/>
          <c:showCatName val="0"/>
          <c:showSerName val="0"/>
          <c:showPercent val="0"/>
          <c:showBubbleSize val="0"/>
        </c:dLbls>
        <c:marker val="1"/>
        <c:smooth val="0"/>
        <c:axId val="932031632"/>
        <c:axId val="932030384"/>
      </c:lineChart>
      <c:catAx>
        <c:axId val="93203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2030384"/>
        <c:crosses val="autoZero"/>
        <c:auto val="1"/>
        <c:lblAlgn val="ctr"/>
        <c:lblOffset val="100"/>
        <c:noMultiLvlLbl val="0"/>
      </c:catAx>
      <c:valAx>
        <c:axId val="9320303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203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12</Pages>
  <Words>2331</Words>
  <Characters>13293</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2023-02-11T08:43:00Z</dcterms:created>
  <dcterms:modified xsi:type="dcterms:W3CDTF">2023-02-13T06:32:00Z</dcterms:modified>
</cp:coreProperties>
</file>